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宋体" w:hAnsi="宋体"/>
          <w:sz w:val="28"/>
          <w:szCs w:val="28"/>
        </w:rPr>
      </w:pPr>
      <w:bookmarkStart w:id="0" w:name="YS060100"/>
    </w:p>
    <w:p>
      <w:pPr>
        <w:snapToGrid w:val="0"/>
        <w:jc w:val="center"/>
        <w:rPr>
          <w:rFonts w:hint="eastAsia" w:ascii="宋体" w:hAnsi="宋体"/>
          <w:b/>
          <w:sz w:val="36"/>
          <w:szCs w:val="36"/>
        </w:rPr>
      </w:pPr>
      <w:r>
        <w:rPr>
          <w:rFonts w:hint="eastAsia" w:ascii="宋体" w:hAnsi="宋体"/>
          <w:b/>
          <w:sz w:val="36"/>
          <w:szCs w:val="36"/>
        </w:rPr>
        <w:t>景德镇市中医医院202</w:t>
      </w:r>
      <w:r>
        <w:rPr>
          <w:rFonts w:hint="eastAsia" w:ascii="宋体" w:hAnsi="宋体"/>
          <w:b/>
          <w:sz w:val="36"/>
          <w:szCs w:val="36"/>
          <w:lang w:val="en-US" w:eastAsia="zh-CN"/>
        </w:rPr>
        <w:t>1</w:t>
      </w:r>
      <w:r>
        <w:rPr>
          <w:rFonts w:hint="eastAsia" w:ascii="宋体" w:hAnsi="宋体"/>
          <w:b/>
          <w:sz w:val="36"/>
          <w:szCs w:val="36"/>
        </w:rPr>
        <w:t>年度部门决算</w:t>
      </w:r>
    </w:p>
    <w:bookmarkEnd w:id="0"/>
    <w:p>
      <w:pPr>
        <w:snapToGrid w:val="0"/>
        <w:jc w:val="center"/>
        <w:rPr>
          <w:rFonts w:hint="eastAsia" w:ascii="宋体" w:hAnsi="宋体"/>
          <w:b/>
          <w:sz w:val="36"/>
          <w:szCs w:val="36"/>
        </w:rPr>
      </w:pPr>
    </w:p>
    <w:p>
      <w:pPr>
        <w:spacing w:line="600" w:lineRule="exact"/>
        <w:jc w:val="center"/>
        <w:rPr>
          <w:rFonts w:hint="eastAsia" w:ascii="宋体" w:hAnsi="宋体" w:cs="宋体"/>
          <w:b/>
          <w:bCs/>
          <w:sz w:val="40"/>
          <w:szCs w:val="36"/>
        </w:rPr>
      </w:pPr>
      <w:r>
        <w:rPr>
          <w:rFonts w:hint="eastAsia" w:ascii="宋体" w:hAnsi="宋体" w:cs="宋体"/>
          <w:b/>
          <w:bCs/>
          <w:sz w:val="40"/>
          <w:szCs w:val="36"/>
        </w:rPr>
        <w:t>目    录</w:t>
      </w:r>
    </w:p>
    <w:p>
      <w:pPr>
        <w:widowControl/>
        <w:spacing w:line="600" w:lineRule="exact"/>
        <w:ind w:firstLine="640"/>
        <w:jc w:val="left"/>
        <w:rPr>
          <w:rFonts w:hint="eastAsia" w:ascii="仿宋_GB2312" w:hAnsi="Calibri" w:eastAsia="仿宋_GB2312"/>
          <w:sz w:val="32"/>
          <w:szCs w:val="30"/>
        </w:rPr>
      </w:pPr>
    </w:p>
    <w:p>
      <w:pPr>
        <w:widowControl/>
        <w:spacing w:line="600" w:lineRule="exact"/>
        <w:ind w:firstLine="640"/>
        <w:jc w:val="left"/>
        <w:rPr>
          <w:rFonts w:hint="eastAsia" w:ascii="黑体" w:hAnsi="黑体" w:eastAsia="黑体"/>
          <w:b/>
          <w:sz w:val="28"/>
          <w:szCs w:val="28"/>
        </w:rPr>
      </w:pPr>
      <w:r>
        <w:rPr>
          <w:rFonts w:hint="eastAsia" w:ascii="黑体" w:hAnsi="黑体" w:eastAsia="黑体"/>
          <w:sz w:val="28"/>
          <w:szCs w:val="28"/>
        </w:rPr>
        <w:t>第一部分</w:t>
      </w:r>
      <w:r>
        <w:rPr>
          <w:rFonts w:hint="eastAsia" w:ascii="黑体" w:hAnsi="黑体" w:eastAsia="黑体"/>
          <w:b/>
          <w:sz w:val="28"/>
          <w:szCs w:val="28"/>
        </w:rPr>
        <w:t xml:space="preserve"> </w:t>
      </w:r>
      <w:r>
        <w:rPr>
          <w:rFonts w:hint="eastAsia" w:ascii="黑体" w:hAnsi="黑体" w:eastAsia="黑体"/>
          <w:b/>
          <w:sz w:val="28"/>
          <w:szCs w:val="28"/>
          <w:lang w:eastAsia="zh-CN"/>
        </w:rPr>
        <w:t>景德镇市</w:t>
      </w:r>
      <w:r>
        <w:rPr>
          <w:rFonts w:hint="eastAsia" w:ascii="黑体" w:hAnsi="黑体" w:eastAsia="黑体"/>
          <w:b/>
          <w:sz w:val="28"/>
          <w:szCs w:val="28"/>
          <w:lang w:val="en-US" w:eastAsia="zh-CN"/>
        </w:rPr>
        <w:t>中医</w:t>
      </w:r>
      <w:r>
        <w:rPr>
          <w:rFonts w:hint="eastAsia" w:ascii="黑体" w:hAnsi="黑体" w:eastAsia="黑体"/>
          <w:b/>
          <w:sz w:val="28"/>
          <w:szCs w:val="28"/>
          <w:lang w:eastAsia="zh-CN"/>
        </w:rPr>
        <w:t>医院</w:t>
      </w:r>
      <w:r>
        <w:rPr>
          <w:rFonts w:hint="eastAsia" w:ascii="黑体" w:hAnsi="黑体" w:eastAsia="黑体"/>
          <w:sz w:val="28"/>
          <w:szCs w:val="28"/>
        </w:rPr>
        <w:t>概况</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b/>
          <w:sz w:val="28"/>
          <w:szCs w:val="28"/>
        </w:rPr>
        <w:t xml:space="preserve"> </w:t>
      </w:r>
      <w:r>
        <w:rPr>
          <w:rFonts w:hint="eastAsia" w:ascii="仿宋_GB2312" w:eastAsia="仿宋_GB2312" w:cs="仿宋_GB2312"/>
          <w:kern w:val="0"/>
          <w:sz w:val="28"/>
          <w:szCs w:val="28"/>
          <w:lang w:val="zh-CN"/>
        </w:rPr>
        <w:t xml:space="preserve">   一、部门主要职责</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二、部门基本情况</w:t>
      </w:r>
    </w:p>
    <w:p>
      <w:pPr>
        <w:widowControl/>
        <w:spacing w:line="600" w:lineRule="exact"/>
        <w:ind w:firstLine="640"/>
        <w:jc w:val="left"/>
        <w:rPr>
          <w:rFonts w:hint="eastAsia" w:ascii="黑体" w:hAnsi="黑体" w:eastAsia="黑体"/>
          <w:sz w:val="28"/>
          <w:szCs w:val="28"/>
        </w:rPr>
      </w:pPr>
      <w:r>
        <w:rPr>
          <w:rFonts w:hint="eastAsia" w:ascii="黑体" w:hAnsi="黑体" w:eastAsia="黑体"/>
          <w:sz w:val="28"/>
          <w:szCs w:val="28"/>
        </w:rPr>
        <w:t>第二部分  202</w:t>
      </w:r>
      <w:r>
        <w:rPr>
          <w:rFonts w:hint="eastAsia" w:ascii="黑体" w:hAnsi="黑体" w:eastAsia="黑体"/>
          <w:sz w:val="28"/>
          <w:szCs w:val="28"/>
          <w:lang w:val="en-US" w:eastAsia="zh-CN"/>
        </w:rPr>
        <w:t>1</w:t>
      </w:r>
      <w:r>
        <w:rPr>
          <w:rFonts w:hint="eastAsia" w:ascii="黑体" w:hAnsi="黑体" w:eastAsia="黑体"/>
          <w:sz w:val="28"/>
          <w:szCs w:val="28"/>
        </w:rPr>
        <w:t>年度部门决算表</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一、收入支出决算总表</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二、收入决算表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三、支出决算表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四、财政拨款收入支出决算总表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五、一般公共预算财政拨款支出决算表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六、一般公共预算财政拨款基本支出决算表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七、一般公共预算财政拨款“三公”经费支出决算表</w:t>
      </w:r>
    </w:p>
    <w:p>
      <w:pPr>
        <w:widowControl/>
        <w:numPr>
          <w:ilvl w:val="0"/>
          <w:numId w:val="1"/>
        </w:numPr>
        <w:spacing w:line="600" w:lineRule="exact"/>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政府性基金预算财政拨款收入支出决算表</w:t>
      </w:r>
    </w:p>
    <w:p>
      <w:pPr>
        <w:widowControl/>
        <w:numPr>
          <w:ilvl w:val="0"/>
          <w:numId w:val="1"/>
        </w:numPr>
        <w:spacing w:line="600" w:lineRule="exact"/>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国有资本经营预算财政拨款支出决算表</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十、国有资产占用情况表</w:t>
      </w:r>
    </w:p>
    <w:p>
      <w:pPr>
        <w:widowControl/>
        <w:spacing w:line="600" w:lineRule="exact"/>
        <w:jc w:val="left"/>
        <w:rPr>
          <w:rFonts w:hint="eastAsia" w:ascii="黑体" w:hAnsi="黑体" w:eastAsia="黑体"/>
          <w:sz w:val="28"/>
          <w:szCs w:val="28"/>
        </w:rPr>
      </w:pPr>
      <w:r>
        <w:rPr>
          <w:rFonts w:hint="eastAsia" w:ascii="仿宋" w:hAnsi="仿宋" w:eastAsia="仿宋" w:cs="宋体"/>
          <w:kern w:val="0"/>
          <w:sz w:val="28"/>
          <w:szCs w:val="28"/>
        </w:rPr>
        <w:t xml:space="preserve">    </w:t>
      </w:r>
      <w:r>
        <w:rPr>
          <w:rFonts w:hint="eastAsia" w:ascii="黑体" w:hAnsi="黑体" w:eastAsia="黑体"/>
          <w:sz w:val="28"/>
          <w:szCs w:val="28"/>
        </w:rPr>
        <w:t>第三部分  202</w:t>
      </w:r>
      <w:r>
        <w:rPr>
          <w:rFonts w:hint="eastAsia" w:ascii="黑体" w:hAnsi="黑体" w:eastAsia="黑体"/>
          <w:sz w:val="28"/>
          <w:szCs w:val="28"/>
          <w:lang w:val="en-US" w:eastAsia="zh-CN"/>
        </w:rPr>
        <w:t>1</w:t>
      </w:r>
      <w:r>
        <w:rPr>
          <w:rFonts w:hint="eastAsia" w:ascii="黑体" w:hAnsi="黑体" w:eastAsia="黑体"/>
          <w:sz w:val="28"/>
          <w:szCs w:val="28"/>
        </w:rPr>
        <w:t>年度部门决算情况说明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一、收入决算情况说明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二、支出决算情况说明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三、财政拨款支出决算情况说明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四、一般公共预算财政拨款基本支出决算情况说明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五、一般公共预算财政拨款“三公”经费支出决算情况说明</w:t>
      </w:r>
    </w:p>
    <w:p>
      <w:pPr>
        <w:widowControl/>
        <w:spacing w:line="600" w:lineRule="exact"/>
        <w:ind w:firstLine="1120" w:firstLineChars="40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六、机关运行经费支出情况说明</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七、政府采购支出情况说明</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八、国有资产占用情况说明</w:t>
      </w:r>
    </w:p>
    <w:p>
      <w:pPr>
        <w:widowControl/>
        <w:spacing w:line="600" w:lineRule="exact"/>
        <w:ind w:firstLine="640"/>
        <w:jc w:val="left"/>
        <w:rPr>
          <w:rFonts w:hint="eastAsia" w:ascii="仿宋_GB2312" w:eastAsia="仿宋_GB2312" w:cs="仿宋_GB2312"/>
          <w:kern w:val="0"/>
          <w:sz w:val="28"/>
          <w:szCs w:val="28"/>
          <w:lang w:val="zh-CN"/>
        </w:rPr>
      </w:pPr>
      <w:r>
        <w:rPr>
          <w:rFonts w:hint="eastAsia" w:ascii="仿宋_GB2312" w:eastAsia="仿宋_GB2312" w:cs="仿宋_GB2312"/>
          <w:kern w:val="0"/>
          <w:sz w:val="28"/>
          <w:szCs w:val="28"/>
          <w:lang w:val="zh-CN"/>
        </w:rPr>
        <w:t xml:space="preserve">    九、预算绩效情况说明</w:t>
      </w:r>
    </w:p>
    <w:p>
      <w:pPr>
        <w:widowControl/>
        <w:spacing w:line="600" w:lineRule="exact"/>
        <w:ind w:firstLine="640"/>
        <w:jc w:val="left"/>
        <w:rPr>
          <w:rFonts w:hint="eastAsia" w:ascii="仿宋" w:hAnsi="仿宋" w:eastAsia="仿宋"/>
          <w:sz w:val="28"/>
          <w:szCs w:val="28"/>
        </w:rPr>
      </w:pPr>
      <w:r>
        <w:rPr>
          <w:rFonts w:hint="eastAsia" w:ascii="黑体" w:hAnsi="黑体" w:eastAsia="黑体"/>
          <w:sz w:val="28"/>
          <w:szCs w:val="28"/>
        </w:rPr>
        <w:t>第四部分  名词解释</w:t>
      </w:r>
    </w:p>
    <w:p>
      <w:pPr>
        <w:ind w:firstLine="630"/>
        <w:jc w:val="center"/>
        <w:rPr>
          <w:rFonts w:hint="eastAsia" w:ascii="宋体" w:hAnsi="宋体"/>
          <w:b/>
          <w:sz w:val="28"/>
          <w:szCs w:val="28"/>
        </w:rPr>
      </w:pPr>
    </w:p>
    <w:p>
      <w:pPr>
        <w:ind w:firstLine="630"/>
        <w:jc w:val="center"/>
        <w:rPr>
          <w:rFonts w:hint="eastAsia" w:ascii="宋体" w:hAnsi="宋体"/>
          <w:b/>
          <w:sz w:val="28"/>
          <w:szCs w:val="28"/>
        </w:rPr>
      </w:pPr>
    </w:p>
    <w:p>
      <w:pPr>
        <w:ind w:firstLine="630"/>
        <w:jc w:val="center"/>
        <w:rPr>
          <w:rFonts w:hint="eastAsia" w:ascii="宋体" w:hAnsi="宋体"/>
          <w:b/>
          <w:sz w:val="28"/>
          <w:szCs w:val="28"/>
        </w:rPr>
      </w:pPr>
    </w:p>
    <w:p>
      <w:pPr>
        <w:ind w:firstLine="630"/>
        <w:jc w:val="center"/>
        <w:rPr>
          <w:rFonts w:hint="eastAsia" w:ascii="宋体" w:hAnsi="宋体"/>
          <w:b/>
          <w:sz w:val="28"/>
          <w:szCs w:val="28"/>
        </w:rPr>
      </w:pPr>
    </w:p>
    <w:p>
      <w:pPr>
        <w:ind w:firstLine="630"/>
        <w:jc w:val="center"/>
        <w:rPr>
          <w:rFonts w:hint="eastAsia" w:ascii="仿宋_GB2312" w:eastAsia="仿宋_GB2312" w:cs="仿宋_GB2312"/>
          <w:kern w:val="0"/>
          <w:sz w:val="28"/>
          <w:szCs w:val="28"/>
          <w:lang w:val="zh-CN"/>
        </w:rPr>
      </w:pPr>
    </w:p>
    <w:p>
      <w:pPr>
        <w:ind w:firstLine="630"/>
        <w:jc w:val="center"/>
        <w:rPr>
          <w:rFonts w:hint="eastAsia" w:ascii="仿宋_GB2312" w:eastAsia="仿宋_GB2312" w:cs="仿宋_GB2312"/>
          <w:kern w:val="0"/>
          <w:sz w:val="28"/>
          <w:szCs w:val="28"/>
          <w:lang w:val="zh-CN"/>
        </w:rPr>
      </w:pPr>
    </w:p>
    <w:p>
      <w:pPr>
        <w:ind w:firstLine="630"/>
        <w:jc w:val="center"/>
        <w:rPr>
          <w:rFonts w:hint="eastAsia" w:ascii="宋体" w:hAnsi="宋体"/>
          <w:b/>
          <w:sz w:val="28"/>
          <w:szCs w:val="28"/>
        </w:rPr>
      </w:pPr>
    </w:p>
    <w:p>
      <w:pPr>
        <w:ind w:firstLine="630"/>
        <w:jc w:val="center"/>
        <w:rPr>
          <w:rFonts w:hint="eastAsia" w:ascii="宋体" w:hAnsi="宋体"/>
          <w:b/>
          <w:sz w:val="28"/>
          <w:szCs w:val="28"/>
        </w:rPr>
      </w:pPr>
    </w:p>
    <w:p>
      <w:pPr>
        <w:ind w:firstLine="630"/>
        <w:jc w:val="center"/>
        <w:rPr>
          <w:rFonts w:hint="eastAsia" w:ascii="宋体" w:hAnsi="宋体"/>
          <w:b/>
          <w:sz w:val="28"/>
          <w:szCs w:val="28"/>
        </w:rPr>
      </w:pPr>
    </w:p>
    <w:p>
      <w:pPr>
        <w:widowControl/>
        <w:spacing w:line="580" w:lineRule="exact"/>
        <w:jc w:val="both"/>
        <w:rPr>
          <w:rFonts w:hint="eastAsia" w:ascii="宋体" w:hAnsi="宋体"/>
          <w:b/>
          <w:sz w:val="28"/>
          <w:szCs w:val="28"/>
        </w:rPr>
      </w:pPr>
    </w:p>
    <w:p>
      <w:pPr>
        <w:widowControl/>
        <w:kinsoku w:val="0"/>
        <w:autoSpaceDE w:val="0"/>
        <w:autoSpaceDN w:val="0"/>
        <w:adjustRightInd w:val="0"/>
        <w:snapToGrid w:val="0"/>
        <w:spacing w:before="215" w:line="225" w:lineRule="auto"/>
        <w:jc w:val="center"/>
        <w:textAlignment w:val="baseline"/>
        <w:rPr>
          <w:rFonts w:hint="eastAsia" w:ascii="宋体" w:hAnsi="宋体" w:eastAsia="宋体" w:cs="宋体"/>
          <w:snapToGrid w:val="0"/>
          <w:color w:val="000000"/>
          <w:spacing w:val="5"/>
          <w:kern w:val="0"/>
          <w:sz w:val="31"/>
          <w:szCs w:val="31"/>
          <w14:textOutline w14:w="5793" w14:cap="sq" w14:cmpd="sng">
            <w14:solidFill>
              <w14:srgbClr w14:val="000000"/>
            </w14:solidFill>
            <w14:prstDash w14:val="solid"/>
            <w14:bevel/>
          </w14:textOutline>
        </w:rPr>
      </w:pPr>
      <w:r>
        <w:rPr>
          <w:rFonts w:hint="eastAsia" w:ascii="宋体" w:hAnsi="宋体" w:eastAsia="宋体" w:cs="宋体"/>
          <w:snapToGrid w:val="0"/>
          <w:color w:val="000000"/>
          <w:spacing w:val="5"/>
          <w:kern w:val="0"/>
          <w:sz w:val="31"/>
          <w:szCs w:val="31"/>
          <w14:textOutline w14:w="5793" w14:cap="sq" w14:cmpd="sng">
            <w14:solidFill>
              <w14:srgbClr w14:val="000000"/>
            </w14:solidFill>
            <w14:prstDash w14:val="solid"/>
            <w14:bevel/>
          </w14:textOutline>
        </w:rPr>
        <w:t xml:space="preserve">第一部分 </w:t>
      </w: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景德镇市</w:t>
      </w:r>
      <w:r>
        <w:rPr>
          <w:rFonts w:hint="eastAsia" w:ascii="宋体" w:hAnsi="宋体" w:eastAsia="宋体" w:cs="宋体"/>
          <w:snapToGrid w:val="0"/>
          <w:color w:val="000000"/>
          <w:spacing w:val="5"/>
          <w:kern w:val="0"/>
          <w:sz w:val="31"/>
          <w:szCs w:val="31"/>
          <w:lang w:val="en-US" w:eastAsia="zh-CN"/>
          <w14:textOutline w14:w="5793" w14:cap="sq" w14:cmpd="sng">
            <w14:solidFill>
              <w14:srgbClr w14:val="000000"/>
            </w14:solidFill>
            <w14:prstDash w14:val="solid"/>
            <w14:bevel/>
          </w14:textOutline>
        </w:rPr>
        <w:t>中医</w:t>
      </w: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医院</w:t>
      </w:r>
      <w:r>
        <w:rPr>
          <w:rFonts w:hint="eastAsia" w:ascii="宋体" w:hAnsi="宋体" w:eastAsia="宋体" w:cs="宋体"/>
          <w:snapToGrid w:val="0"/>
          <w:color w:val="000000"/>
          <w:spacing w:val="5"/>
          <w:kern w:val="0"/>
          <w:sz w:val="31"/>
          <w:szCs w:val="31"/>
          <w14:textOutline w14:w="5793" w14:cap="sq" w14:cmpd="sng">
            <w14:solidFill>
              <w14:srgbClr w14:val="000000"/>
            </w14:solidFill>
            <w14:prstDash w14:val="solid"/>
            <w14:bevel/>
          </w14:textOutline>
        </w:rPr>
        <w:t>概况</w:t>
      </w:r>
    </w:p>
    <w:p>
      <w:pPr>
        <w:ind w:firstLine="630"/>
        <w:jc w:val="center"/>
        <w:rPr>
          <w:rFonts w:hint="eastAsia" w:ascii="Calibri" w:hAnsi="Calibri"/>
          <w:sz w:val="28"/>
          <w:szCs w:val="28"/>
        </w:rPr>
      </w:pPr>
    </w:p>
    <w:p>
      <w:pPr>
        <w:widowControl/>
        <w:spacing w:line="600" w:lineRule="exact"/>
        <w:ind w:firstLine="640"/>
        <w:jc w:val="left"/>
        <w:rPr>
          <w:rFonts w:hint="eastAsia" w:ascii="黑体" w:hAnsi="黑体" w:eastAsia="黑体"/>
          <w:b/>
          <w:sz w:val="28"/>
          <w:szCs w:val="28"/>
          <w:lang w:eastAsia="zh-CN"/>
        </w:rPr>
      </w:pPr>
      <w:r>
        <w:rPr>
          <w:rFonts w:hint="eastAsia" w:ascii="黑体" w:hAnsi="黑体" w:eastAsia="黑体"/>
          <w:b/>
          <w:sz w:val="28"/>
          <w:szCs w:val="28"/>
          <w:lang w:eastAsia="zh-CN"/>
        </w:rPr>
        <w:t>一、部门主要职能</w:t>
      </w:r>
    </w:p>
    <w:p>
      <w:pPr>
        <w:snapToGrid w:val="0"/>
        <w:spacing w:line="520" w:lineRule="exact"/>
        <w:ind w:firstLine="560" w:firstLineChars="200"/>
        <w:rPr>
          <w:rFonts w:ascii="宋体" w:hAnsi="宋体" w:cs="Arial"/>
          <w:kern w:val="0"/>
          <w:sz w:val="28"/>
          <w:szCs w:val="28"/>
        </w:rPr>
      </w:pPr>
      <w:r>
        <w:rPr>
          <w:rFonts w:ascii="宋体" w:hAnsi="宋体" w:cs="Arial"/>
          <w:kern w:val="0"/>
          <w:sz w:val="28"/>
          <w:szCs w:val="28"/>
        </w:rPr>
        <w:t>景德镇市中医医院创建于1954年，是一所集中医之精华，在市内及周边地区享有较高声誉的融医疗、科研、教学、预防、保健、康复为一体的地市级综合性三级甲等中医医院。</w:t>
      </w:r>
    </w:p>
    <w:p>
      <w:pPr>
        <w:snapToGrid w:val="0"/>
        <w:spacing w:line="520" w:lineRule="exact"/>
        <w:ind w:firstLine="560" w:firstLineChars="200"/>
        <w:rPr>
          <w:rFonts w:ascii="宋体" w:hAnsi="宋体" w:cs="Arial"/>
          <w:kern w:val="0"/>
          <w:sz w:val="28"/>
          <w:szCs w:val="28"/>
        </w:rPr>
      </w:pPr>
      <w:r>
        <w:rPr>
          <w:rFonts w:ascii="宋体" w:hAnsi="宋体" w:cs="Arial"/>
          <w:kern w:val="0"/>
          <w:sz w:val="28"/>
          <w:szCs w:val="28"/>
        </w:rPr>
        <w:t>医院充分发挥中医药在治未病、康复、养生、保健方面独特优势</w:t>
      </w:r>
      <w:r>
        <w:rPr>
          <w:rFonts w:hint="eastAsia" w:ascii="宋体" w:hAnsi="宋体" w:cs="Arial"/>
          <w:kern w:val="0"/>
          <w:sz w:val="28"/>
          <w:szCs w:val="28"/>
          <w:lang w:eastAsia="zh-CN"/>
        </w:rPr>
        <w:t>。</w:t>
      </w:r>
      <w:r>
        <w:rPr>
          <w:rFonts w:hint="eastAsia" w:ascii="宋体" w:hAnsi="宋体" w:cs="Arial"/>
          <w:kern w:val="0"/>
          <w:sz w:val="28"/>
          <w:szCs w:val="28"/>
        </w:rPr>
        <w:t>医院是江西中医药大学非直属附属医院、国家级中医类别全科医生和中医住院医师规范化培训基地。</w:t>
      </w:r>
    </w:p>
    <w:p>
      <w:pPr>
        <w:widowControl/>
        <w:spacing w:line="600" w:lineRule="exact"/>
        <w:ind w:firstLine="640"/>
        <w:jc w:val="left"/>
        <w:rPr>
          <w:rFonts w:hint="eastAsia" w:ascii="黑体" w:hAnsi="黑体" w:eastAsia="黑体"/>
          <w:b/>
          <w:sz w:val="28"/>
          <w:szCs w:val="28"/>
          <w:lang w:eastAsia="zh-CN"/>
        </w:rPr>
      </w:pPr>
      <w:r>
        <w:rPr>
          <w:rFonts w:hint="eastAsia" w:ascii="黑体" w:hAnsi="黑体" w:eastAsia="黑体"/>
          <w:b/>
          <w:sz w:val="28"/>
          <w:szCs w:val="28"/>
          <w:lang w:eastAsia="zh-CN"/>
        </w:rPr>
        <w:t>二、部门基本情况</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景德镇市中医医院属于市卫健委下属差额拨款单位</w:t>
      </w:r>
      <w:r>
        <w:rPr>
          <w:rFonts w:hint="eastAsia" w:ascii="宋体" w:hAnsi="宋体"/>
          <w:sz w:val="28"/>
          <w:szCs w:val="28"/>
          <w:lang w:eastAsia="zh-CN"/>
        </w:rPr>
        <w:t>。</w:t>
      </w:r>
      <w:r>
        <w:rPr>
          <w:rFonts w:hint="eastAsia" w:ascii="宋体" w:hAnsi="宋体"/>
          <w:sz w:val="28"/>
          <w:szCs w:val="28"/>
        </w:rPr>
        <w:t>截止到202</w:t>
      </w:r>
      <w:r>
        <w:rPr>
          <w:rFonts w:hint="eastAsia" w:ascii="宋体" w:hAnsi="宋体"/>
          <w:sz w:val="28"/>
          <w:szCs w:val="28"/>
          <w:lang w:val="en-US" w:eastAsia="zh-CN"/>
        </w:rPr>
        <w:t>1</w:t>
      </w:r>
      <w:r>
        <w:rPr>
          <w:rFonts w:hint="eastAsia" w:ascii="宋体" w:hAnsi="宋体"/>
          <w:sz w:val="28"/>
          <w:szCs w:val="28"/>
        </w:rPr>
        <w:t>年12月31日，在岗职工</w:t>
      </w:r>
      <w:r>
        <w:rPr>
          <w:rFonts w:hint="eastAsia" w:ascii="宋体" w:hAnsi="宋体"/>
          <w:sz w:val="28"/>
          <w:szCs w:val="28"/>
          <w:lang w:val="en-US" w:eastAsia="zh-CN"/>
        </w:rPr>
        <w:t>516</w:t>
      </w:r>
      <w:r>
        <w:rPr>
          <w:rFonts w:hint="eastAsia" w:ascii="宋体" w:hAnsi="宋体"/>
          <w:sz w:val="28"/>
          <w:szCs w:val="28"/>
        </w:rPr>
        <w:t>人，其中：在编2</w:t>
      </w:r>
      <w:r>
        <w:rPr>
          <w:rFonts w:hint="eastAsia" w:ascii="宋体" w:hAnsi="宋体"/>
          <w:sz w:val="28"/>
          <w:szCs w:val="28"/>
          <w:lang w:val="en-US" w:eastAsia="zh-CN"/>
        </w:rPr>
        <w:t>55</w:t>
      </w:r>
      <w:r>
        <w:rPr>
          <w:rFonts w:hint="eastAsia" w:ascii="宋体" w:hAnsi="宋体"/>
          <w:sz w:val="28"/>
          <w:szCs w:val="28"/>
        </w:rPr>
        <w:t>人，聘用工</w:t>
      </w:r>
      <w:r>
        <w:rPr>
          <w:rFonts w:hint="eastAsia" w:ascii="宋体" w:hAnsi="宋体"/>
          <w:sz w:val="28"/>
          <w:szCs w:val="28"/>
          <w:lang w:val="en-US" w:eastAsia="zh-CN"/>
        </w:rPr>
        <w:t>261</w:t>
      </w:r>
      <w:r>
        <w:rPr>
          <w:rFonts w:hint="eastAsia" w:ascii="宋体" w:hAnsi="宋体"/>
          <w:sz w:val="28"/>
          <w:szCs w:val="28"/>
        </w:rPr>
        <w:t>人</w:t>
      </w:r>
      <w:r>
        <w:rPr>
          <w:rFonts w:hint="eastAsia" w:ascii="宋体" w:hAnsi="宋体"/>
          <w:sz w:val="28"/>
          <w:szCs w:val="28"/>
          <w:lang w:eastAsia="zh-CN"/>
        </w:rPr>
        <w:t>。</w:t>
      </w:r>
      <w:r>
        <w:rPr>
          <w:rFonts w:hint="eastAsia" w:ascii="宋体" w:hAnsi="宋体"/>
          <w:sz w:val="28"/>
          <w:szCs w:val="28"/>
        </w:rPr>
        <w:t>离休人员2人</w:t>
      </w:r>
      <w:r>
        <w:rPr>
          <w:rFonts w:hint="eastAsia" w:ascii="宋体" w:hAnsi="宋体"/>
          <w:sz w:val="28"/>
          <w:szCs w:val="28"/>
          <w:lang w:eastAsia="zh-CN"/>
        </w:rPr>
        <w:t>，</w:t>
      </w:r>
      <w:r>
        <w:rPr>
          <w:rFonts w:hint="eastAsia" w:ascii="宋体" w:hAnsi="宋体"/>
          <w:sz w:val="28"/>
          <w:szCs w:val="28"/>
        </w:rPr>
        <w:t>退休人员1</w:t>
      </w:r>
      <w:r>
        <w:rPr>
          <w:rFonts w:hint="eastAsia" w:ascii="宋体" w:hAnsi="宋体"/>
          <w:sz w:val="28"/>
          <w:szCs w:val="28"/>
          <w:lang w:val="en-US" w:eastAsia="zh-CN"/>
        </w:rPr>
        <w:t>60</w:t>
      </w:r>
      <w:r>
        <w:rPr>
          <w:rFonts w:hint="eastAsia" w:ascii="宋体" w:hAnsi="宋体"/>
          <w:sz w:val="28"/>
          <w:szCs w:val="28"/>
        </w:rPr>
        <w:t>人。</w:t>
      </w:r>
    </w:p>
    <w:p>
      <w:pPr>
        <w:snapToGrid w:val="0"/>
        <w:spacing w:line="520" w:lineRule="exact"/>
        <w:ind w:firstLine="560" w:firstLineChars="200"/>
        <w:rPr>
          <w:rFonts w:hint="eastAsia" w:ascii="宋体" w:hAnsi="宋体" w:cs="Arial"/>
          <w:kern w:val="0"/>
          <w:sz w:val="28"/>
          <w:szCs w:val="28"/>
        </w:rPr>
      </w:pPr>
      <w:r>
        <w:rPr>
          <w:rFonts w:hint="eastAsia" w:ascii="宋体" w:hAnsi="宋体" w:cs="Arial"/>
          <w:kern w:val="0"/>
          <w:sz w:val="28"/>
          <w:szCs w:val="28"/>
        </w:rPr>
        <w:t>医院现占地面积70亩，业务用房5万余平米。开放床位650张，设有38个临床、医技科室。拥有全国老中医药专家学术经验继承工作指导老师1人；江西省名中医、省百千万人才、政府津贴、省学科带头人等德艺双馨专家10人。高素质中医药人才54人（博士1名，研究生53人），博士生导师1名、硕士生导师7名、高级职称57人、中级职称114人。</w:t>
      </w:r>
    </w:p>
    <w:p>
      <w:pPr>
        <w:snapToGrid w:val="0"/>
        <w:spacing w:line="520" w:lineRule="exact"/>
        <w:ind w:firstLine="560" w:firstLineChars="200"/>
        <w:rPr>
          <w:rFonts w:hint="eastAsia" w:ascii="宋体" w:hAnsi="宋体" w:eastAsia="宋体" w:cs="Arial"/>
          <w:kern w:val="0"/>
          <w:sz w:val="28"/>
          <w:szCs w:val="28"/>
          <w:lang w:eastAsia="zh-CN"/>
        </w:rPr>
      </w:pPr>
      <w:r>
        <w:rPr>
          <w:rFonts w:ascii="宋体" w:hAnsi="宋体" w:cs="Arial"/>
          <w:kern w:val="0"/>
          <w:sz w:val="28"/>
          <w:szCs w:val="28"/>
        </w:rPr>
        <w:t>医院现有20个特色鲜明、疗效明显的专病专科，其中有国家级重点专科针灸科，国家重点培育专科推拿科，省级重点专科九个（中风病科、急诊科、骨伤科、肛肠科、创伤外科、康复科、老年病科、妇科、脾胃科）以及一批市、院级重点专科。</w:t>
      </w:r>
    </w:p>
    <w:p>
      <w:pPr>
        <w:snapToGrid w:val="0"/>
        <w:spacing w:line="520" w:lineRule="exact"/>
        <w:ind w:firstLine="560" w:firstLineChars="200"/>
        <w:rPr>
          <w:rFonts w:hint="eastAsia" w:ascii="宋体" w:hAnsi="宋体" w:cs="Arial"/>
          <w:kern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rPr>
      </w:pPr>
    </w:p>
    <w:p>
      <w:pPr>
        <w:widowControl/>
        <w:kinsoku w:val="0"/>
        <w:autoSpaceDE w:val="0"/>
        <w:autoSpaceDN w:val="0"/>
        <w:adjustRightInd w:val="0"/>
        <w:snapToGrid w:val="0"/>
        <w:spacing w:before="215" w:line="225" w:lineRule="auto"/>
        <w:jc w:val="center"/>
        <w:textAlignment w:val="baseline"/>
        <w:rPr>
          <w:rStyle w:val="5"/>
          <w:rFonts w:hint="eastAsia" w:ascii="宋体" w:hAnsi="宋体" w:eastAsia="宋体" w:cs="宋体"/>
          <w:i w:val="0"/>
          <w:iCs w:val="0"/>
          <w:caps w:val="0"/>
          <w:color w:val="333333"/>
          <w:spacing w:val="0"/>
          <w:sz w:val="28"/>
          <w:szCs w:val="28"/>
        </w:rPr>
      </w:pP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第二部分  202</w:t>
      </w:r>
      <w:r>
        <w:rPr>
          <w:rFonts w:hint="eastAsia" w:ascii="宋体" w:hAnsi="宋体" w:cs="宋体"/>
          <w:snapToGrid w:val="0"/>
          <w:color w:val="000000"/>
          <w:spacing w:val="5"/>
          <w:kern w:val="0"/>
          <w:sz w:val="31"/>
          <w:szCs w:val="31"/>
          <w:lang w:val="en-US" w:eastAsia="zh-CN"/>
          <w14:textOutline w14:w="5793" w14:cap="sq" w14:cmpd="sng">
            <w14:solidFill>
              <w14:srgbClr w14:val="000000"/>
            </w14:solidFill>
            <w14:prstDash w14:val="solid"/>
            <w14:bevel/>
          </w14:textOutline>
        </w:rPr>
        <w:t>1</w:t>
      </w: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年度部门决算表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580120" cy="5332095"/>
            <wp:effectExtent l="0" t="0" r="0" b="1905"/>
            <wp:docPr id="1" name="图片 1" descr="41afb46b2ba160ae5fdf90885b19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1afb46b2ba160ae5fdf90885b19c0a"/>
                    <pic:cNvPicPr>
                      <a:picLocks noChangeAspect="1"/>
                    </pic:cNvPicPr>
                  </pic:nvPicPr>
                  <pic:blipFill>
                    <a:blip r:embed="rId4"/>
                    <a:stretch>
                      <a:fillRect/>
                    </a:stretch>
                  </pic:blipFill>
                  <pic:spPr>
                    <a:xfrm>
                      <a:off x="0" y="0"/>
                      <a:ext cx="8580120" cy="533209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709025" cy="4602480"/>
            <wp:effectExtent l="0" t="0" r="8255" b="0"/>
            <wp:docPr id="2" name="图片 2" descr="36e995af1c3adb710497f9e056ce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6e995af1c3adb710497f9e056cea50"/>
                    <pic:cNvPicPr>
                      <a:picLocks noChangeAspect="1"/>
                    </pic:cNvPicPr>
                  </pic:nvPicPr>
                  <pic:blipFill>
                    <a:blip r:embed="rId5"/>
                    <a:stretch>
                      <a:fillRect/>
                    </a:stretch>
                  </pic:blipFill>
                  <pic:spPr>
                    <a:xfrm>
                      <a:off x="0" y="0"/>
                      <a:ext cx="8709025" cy="46024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686800" cy="5269865"/>
            <wp:effectExtent l="0" t="0" r="0" b="3175"/>
            <wp:docPr id="3" name="图片 3" descr="ba50cf314aab2ceea9e91bca5d0a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a50cf314aab2ceea9e91bca5d0a22a"/>
                    <pic:cNvPicPr>
                      <a:picLocks noChangeAspect="1"/>
                    </pic:cNvPicPr>
                  </pic:nvPicPr>
                  <pic:blipFill>
                    <a:blip r:embed="rId6"/>
                    <a:stretch>
                      <a:fillRect/>
                    </a:stretch>
                  </pic:blipFill>
                  <pic:spPr>
                    <a:xfrm>
                      <a:off x="0" y="0"/>
                      <a:ext cx="8686800" cy="526986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621395" cy="5267960"/>
            <wp:effectExtent l="0" t="0" r="4445" b="5080"/>
            <wp:docPr id="4" name="图片 4" descr="f1f5b59c479c31342a05ff704e3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f5b59c479c31342a05ff704e33311"/>
                    <pic:cNvPicPr>
                      <a:picLocks noChangeAspect="1"/>
                    </pic:cNvPicPr>
                  </pic:nvPicPr>
                  <pic:blipFill>
                    <a:blip r:embed="rId7"/>
                    <a:stretch>
                      <a:fillRect/>
                    </a:stretch>
                  </pic:blipFill>
                  <pic:spPr>
                    <a:xfrm>
                      <a:off x="0" y="0"/>
                      <a:ext cx="8621395" cy="526796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865870" cy="5271770"/>
            <wp:effectExtent l="0" t="0" r="3810" b="1270"/>
            <wp:docPr id="5" name="图片 5" descr="3ae3d72c74732a25733775c4f646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ae3d72c74732a25733775c4f646053"/>
                    <pic:cNvPicPr>
                      <a:picLocks noChangeAspect="1"/>
                    </pic:cNvPicPr>
                  </pic:nvPicPr>
                  <pic:blipFill>
                    <a:blip r:embed="rId8"/>
                    <a:stretch>
                      <a:fillRect/>
                    </a:stretch>
                  </pic:blipFill>
                  <pic:spPr>
                    <a:xfrm>
                      <a:off x="0" y="0"/>
                      <a:ext cx="8865870" cy="52717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486140" cy="5272405"/>
            <wp:effectExtent l="0" t="0" r="2540" b="635"/>
            <wp:docPr id="7" name="图片 7" descr="8ec7f01ec95d6a467b1a6aa08940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ec7f01ec95d6a467b1a6aa089408be"/>
                    <pic:cNvPicPr>
                      <a:picLocks noChangeAspect="1"/>
                    </pic:cNvPicPr>
                  </pic:nvPicPr>
                  <pic:blipFill>
                    <a:blip r:embed="rId9"/>
                    <a:stretch>
                      <a:fillRect/>
                    </a:stretch>
                  </pic:blipFill>
                  <pic:spPr>
                    <a:xfrm>
                      <a:off x="0" y="0"/>
                      <a:ext cx="8486140" cy="52724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700770" cy="5272405"/>
            <wp:effectExtent l="0" t="0" r="1270" b="635"/>
            <wp:docPr id="8" name="图片 8" descr="cd7b0e41f430f45e1837df003218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7b0e41f430f45e1837df00321804c"/>
                    <pic:cNvPicPr>
                      <a:picLocks noChangeAspect="1"/>
                    </pic:cNvPicPr>
                  </pic:nvPicPr>
                  <pic:blipFill>
                    <a:blip r:embed="rId10"/>
                    <a:stretch>
                      <a:fillRect/>
                    </a:stretch>
                  </pic:blipFill>
                  <pic:spPr>
                    <a:xfrm>
                      <a:off x="0" y="0"/>
                      <a:ext cx="8700770" cy="5272405"/>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855075" cy="4853940"/>
            <wp:effectExtent l="0" t="0" r="14605" b="7620"/>
            <wp:docPr id="9" name="图片 9" descr="bb5947316c1bfd92fc30a5a89bd8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b5947316c1bfd92fc30a5a89bd822a"/>
                    <pic:cNvPicPr>
                      <a:picLocks noChangeAspect="1"/>
                    </pic:cNvPicPr>
                  </pic:nvPicPr>
                  <pic:blipFill>
                    <a:blip r:embed="rId11"/>
                    <a:stretch>
                      <a:fillRect/>
                    </a:stretch>
                  </pic:blipFill>
                  <pic:spPr>
                    <a:xfrm>
                      <a:off x="0" y="0"/>
                      <a:ext cx="8855075" cy="48539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604885" cy="5062220"/>
            <wp:effectExtent l="0" t="0" r="5715" b="12700"/>
            <wp:docPr id="10" name="图片 10" descr="1b05e93185d58d51c4b5b2f1bfb9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05e93185d58d51c4b5b2f1bfb9bfe"/>
                    <pic:cNvPicPr>
                      <a:picLocks noChangeAspect="1"/>
                    </pic:cNvPicPr>
                  </pic:nvPicPr>
                  <pic:blipFill>
                    <a:blip r:embed="rId12"/>
                    <a:stretch>
                      <a:fillRect/>
                    </a:stretch>
                  </pic:blipFill>
                  <pic:spPr>
                    <a:xfrm>
                      <a:off x="0" y="0"/>
                      <a:ext cx="8604885" cy="506222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r>
        <w:rPr>
          <w:rStyle w:val="5"/>
          <w:rFonts w:hint="eastAsia" w:ascii="宋体" w:hAnsi="宋体" w:eastAsia="宋体" w:cs="宋体"/>
          <w:i w:val="0"/>
          <w:iCs w:val="0"/>
          <w:caps w:val="0"/>
          <w:color w:val="333333"/>
          <w:spacing w:val="0"/>
          <w:sz w:val="28"/>
          <w:szCs w:val="28"/>
          <w:lang w:eastAsia="zh-CN"/>
        </w:rPr>
        <w:drawing>
          <wp:inline distT="0" distB="0" distL="114300" distR="114300">
            <wp:extent cx="8961120" cy="5005070"/>
            <wp:effectExtent l="0" t="0" r="0" b="8890"/>
            <wp:docPr id="11" name="图片 11" descr="3a3c8e295b466d36e88cb33560f0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a3c8e295b466d36e88cb33560f055a"/>
                    <pic:cNvPicPr>
                      <a:picLocks noChangeAspect="1"/>
                    </pic:cNvPicPr>
                  </pic:nvPicPr>
                  <pic:blipFill>
                    <a:blip r:embed="rId13"/>
                    <a:stretch>
                      <a:fillRect/>
                    </a:stretch>
                  </pic:blipFill>
                  <pic:spPr>
                    <a:xfrm>
                      <a:off x="0" y="0"/>
                      <a:ext cx="8961120" cy="500507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rPr>
          <w:rStyle w:val="5"/>
          <w:rFonts w:hint="eastAsia" w:ascii="宋体" w:hAnsi="宋体" w:eastAsia="宋体" w:cs="宋体"/>
          <w:i w:val="0"/>
          <w:iCs w:val="0"/>
          <w:caps w:val="0"/>
          <w:color w:val="333333"/>
          <w:spacing w:val="0"/>
          <w:sz w:val="28"/>
          <w:szCs w:val="28"/>
          <w:lang w:eastAsia="zh-CN"/>
        </w:rPr>
      </w:pPr>
    </w:p>
    <w:p>
      <w:pPr>
        <w:widowControl/>
        <w:kinsoku w:val="0"/>
        <w:autoSpaceDE w:val="0"/>
        <w:autoSpaceDN w:val="0"/>
        <w:adjustRightInd w:val="0"/>
        <w:snapToGrid w:val="0"/>
        <w:spacing w:before="215" w:line="225" w:lineRule="auto"/>
        <w:jc w:val="center"/>
        <w:textAlignment w:val="baseline"/>
        <w:rPr>
          <w:rFonts w:hint="eastAsia" w:ascii="宋体" w:hAnsi="宋体" w:eastAsia="宋体" w:cs="宋体"/>
          <w:snapToGrid w:val="0"/>
          <w:color w:val="000000"/>
          <w:spacing w:val="5"/>
          <w:kern w:val="0"/>
          <w:sz w:val="31"/>
          <w:szCs w:val="31"/>
          <w14:textOutline w14:w="5793" w14:cap="sq" w14:cmpd="sng">
            <w14:solidFill>
              <w14:srgbClr w14:val="000000"/>
            </w14:solidFill>
            <w14:prstDash w14:val="solid"/>
            <w14:bevel/>
          </w14:textOutline>
        </w:rPr>
      </w:pP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第三部分  202</w:t>
      </w:r>
      <w:r>
        <w:rPr>
          <w:rFonts w:hint="eastAsia" w:ascii="宋体" w:hAnsi="宋体" w:cs="宋体"/>
          <w:snapToGrid w:val="0"/>
          <w:color w:val="000000"/>
          <w:spacing w:val="5"/>
          <w:kern w:val="0"/>
          <w:sz w:val="31"/>
          <w:szCs w:val="31"/>
          <w:lang w:val="en-US" w:eastAsia="zh-CN"/>
          <w14:textOutline w14:w="5793" w14:cap="sq" w14:cmpd="sng">
            <w14:solidFill>
              <w14:srgbClr w14:val="000000"/>
            </w14:solidFill>
            <w14:prstDash w14:val="solid"/>
            <w14:bevel/>
          </w14:textOutline>
        </w:rPr>
        <w:t>1</w:t>
      </w: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年度部门决算情况说明</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一、收入决算情况说明</w:t>
      </w:r>
    </w:p>
    <w:p>
      <w:pPr>
        <w:snapToGrid w:val="0"/>
        <w:spacing w:line="520" w:lineRule="exact"/>
        <w:ind w:firstLine="560" w:firstLineChars="200"/>
        <w:rPr>
          <w:rFonts w:hint="eastAsia" w:ascii="宋体" w:hAnsi="宋体" w:cs="Arial"/>
          <w:kern w:val="0"/>
          <w:sz w:val="28"/>
          <w:szCs w:val="28"/>
        </w:rPr>
      </w:pPr>
      <w:r>
        <w:rPr>
          <w:rFonts w:hint="eastAsia" w:ascii="宋体" w:hAnsi="宋体" w:cs="Arial"/>
          <w:kern w:val="0"/>
          <w:sz w:val="28"/>
          <w:szCs w:val="28"/>
        </w:rPr>
        <w:t>本部门202</w:t>
      </w:r>
      <w:r>
        <w:rPr>
          <w:rFonts w:hint="eastAsia" w:ascii="宋体" w:hAnsi="宋体" w:cs="Arial"/>
          <w:kern w:val="0"/>
          <w:sz w:val="28"/>
          <w:szCs w:val="28"/>
          <w:lang w:val="en-US" w:eastAsia="zh-CN"/>
        </w:rPr>
        <w:t>1</w:t>
      </w:r>
      <w:r>
        <w:rPr>
          <w:rFonts w:hint="eastAsia" w:ascii="宋体" w:hAnsi="宋体" w:cs="Arial"/>
          <w:kern w:val="0"/>
          <w:sz w:val="28"/>
          <w:szCs w:val="28"/>
        </w:rPr>
        <w:t>年度收入总计</w:t>
      </w:r>
      <w:r>
        <w:rPr>
          <w:rFonts w:hint="eastAsia" w:ascii="宋体" w:hAnsi="宋体" w:cs="Arial"/>
          <w:kern w:val="0"/>
          <w:sz w:val="28"/>
          <w:szCs w:val="28"/>
          <w:lang w:val="en-US" w:eastAsia="zh-CN"/>
        </w:rPr>
        <w:t>25640.46</w:t>
      </w:r>
      <w:r>
        <w:rPr>
          <w:rFonts w:hint="eastAsia" w:ascii="宋体" w:hAnsi="宋体" w:cs="Arial"/>
          <w:kern w:val="0"/>
          <w:sz w:val="28"/>
          <w:szCs w:val="28"/>
        </w:rPr>
        <w:t>万元，其中年初结转和结余</w:t>
      </w:r>
      <w:r>
        <w:rPr>
          <w:rFonts w:hint="eastAsia" w:ascii="宋体" w:hAnsi="宋体" w:cs="Arial"/>
          <w:kern w:val="0"/>
          <w:sz w:val="28"/>
          <w:szCs w:val="28"/>
          <w:lang w:val="en-US" w:eastAsia="zh-CN"/>
        </w:rPr>
        <w:t>2826.66</w:t>
      </w:r>
      <w:r>
        <w:rPr>
          <w:rFonts w:hint="eastAsia" w:ascii="宋体" w:hAnsi="宋体" w:cs="Arial"/>
          <w:kern w:val="0"/>
          <w:sz w:val="28"/>
          <w:szCs w:val="28"/>
        </w:rPr>
        <w:t>万元，较20</w:t>
      </w:r>
      <w:r>
        <w:rPr>
          <w:rFonts w:hint="eastAsia" w:ascii="宋体" w:hAnsi="宋体" w:cs="Arial"/>
          <w:kern w:val="0"/>
          <w:sz w:val="28"/>
          <w:szCs w:val="28"/>
          <w:lang w:val="en-US" w:eastAsia="zh-CN"/>
        </w:rPr>
        <w:t>20</w:t>
      </w:r>
      <w:r>
        <w:rPr>
          <w:rFonts w:hint="eastAsia" w:ascii="宋体" w:hAnsi="宋体" w:cs="Arial"/>
          <w:kern w:val="0"/>
          <w:sz w:val="28"/>
          <w:szCs w:val="28"/>
        </w:rPr>
        <w:t>年增加</w:t>
      </w:r>
      <w:r>
        <w:rPr>
          <w:rFonts w:hint="eastAsia" w:ascii="宋体" w:hAnsi="宋体" w:cs="Arial"/>
          <w:kern w:val="0"/>
          <w:sz w:val="28"/>
          <w:szCs w:val="28"/>
          <w:lang w:val="en-US" w:eastAsia="zh-CN"/>
        </w:rPr>
        <w:t>2493.66</w:t>
      </w:r>
      <w:r>
        <w:rPr>
          <w:rFonts w:hint="eastAsia" w:ascii="宋体" w:hAnsi="宋体" w:cs="Arial"/>
          <w:kern w:val="0"/>
          <w:sz w:val="28"/>
          <w:szCs w:val="28"/>
        </w:rPr>
        <w:t>万元，增长</w:t>
      </w:r>
      <w:r>
        <w:rPr>
          <w:rFonts w:hint="eastAsia" w:ascii="宋体" w:hAnsi="宋体" w:cs="Arial"/>
          <w:kern w:val="0"/>
          <w:sz w:val="28"/>
          <w:szCs w:val="28"/>
          <w:lang w:val="en-US" w:eastAsia="zh-CN"/>
        </w:rPr>
        <w:t>88</w:t>
      </w:r>
      <w:r>
        <w:rPr>
          <w:rFonts w:hint="eastAsia" w:ascii="宋体" w:hAnsi="宋体" w:cs="Arial"/>
          <w:kern w:val="0"/>
          <w:sz w:val="28"/>
          <w:szCs w:val="28"/>
        </w:rPr>
        <w:t>%。</w:t>
      </w:r>
    </w:p>
    <w:p>
      <w:pPr>
        <w:snapToGrid w:val="0"/>
        <w:spacing w:line="520" w:lineRule="exact"/>
        <w:ind w:firstLine="560" w:firstLineChars="200"/>
        <w:rPr>
          <w:rFonts w:hint="eastAsia" w:ascii="宋体" w:hAnsi="宋体" w:cs="Arial"/>
          <w:kern w:val="0"/>
          <w:sz w:val="28"/>
          <w:szCs w:val="28"/>
        </w:rPr>
      </w:pPr>
      <w:r>
        <w:rPr>
          <w:rFonts w:hint="eastAsia" w:ascii="宋体" w:hAnsi="宋体" w:cs="Arial"/>
          <w:kern w:val="0"/>
          <w:sz w:val="28"/>
          <w:szCs w:val="28"/>
        </w:rPr>
        <w:t>本年收入的具体构成为：财政拨款收入</w:t>
      </w:r>
      <w:r>
        <w:rPr>
          <w:rFonts w:hint="eastAsia" w:ascii="宋体" w:hAnsi="宋体" w:cs="Arial"/>
          <w:kern w:val="0"/>
          <w:sz w:val="28"/>
          <w:szCs w:val="28"/>
          <w:lang w:val="en-US" w:eastAsia="zh-CN"/>
        </w:rPr>
        <w:t>2690</w:t>
      </w:r>
      <w:r>
        <w:rPr>
          <w:rFonts w:hint="eastAsia" w:ascii="宋体" w:hAnsi="宋体" w:cs="Arial"/>
          <w:kern w:val="0"/>
          <w:sz w:val="28"/>
          <w:szCs w:val="28"/>
        </w:rPr>
        <w:t>万元，占</w:t>
      </w:r>
      <w:r>
        <w:rPr>
          <w:rFonts w:hint="eastAsia" w:ascii="宋体" w:hAnsi="宋体" w:cs="Arial"/>
          <w:kern w:val="0"/>
          <w:sz w:val="28"/>
          <w:szCs w:val="28"/>
          <w:lang w:val="en-US" w:eastAsia="zh-CN"/>
        </w:rPr>
        <w:t>10.5</w:t>
      </w:r>
      <w:r>
        <w:rPr>
          <w:rFonts w:hint="eastAsia" w:ascii="宋体" w:hAnsi="宋体" w:cs="Arial"/>
          <w:kern w:val="0"/>
          <w:sz w:val="28"/>
          <w:szCs w:val="28"/>
        </w:rPr>
        <w:t>%；事业收入</w:t>
      </w:r>
      <w:r>
        <w:rPr>
          <w:rFonts w:hint="eastAsia" w:ascii="宋体" w:hAnsi="宋体" w:cs="Arial"/>
          <w:kern w:val="0"/>
          <w:sz w:val="28"/>
          <w:szCs w:val="28"/>
          <w:lang w:val="en-US" w:eastAsia="zh-CN"/>
        </w:rPr>
        <w:t>22928.77</w:t>
      </w:r>
      <w:r>
        <w:rPr>
          <w:rFonts w:hint="eastAsia" w:ascii="宋体" w:hAnsi="宋体" w:cs="Arial"/>
          <w:kern w:val="0"/>
          <w:sz w:val="28"/>
          <w:szCs w:val="28"/>
        </w:rPr>
        <w:t>万元，占</w:t>
      </w:r>
      <w:r>
        <w:rPr>
          <w:rFonts w:hint="eastAsia" w:ascii="宋体" w:hAnsi="宋体" w:cs="Arial"/>
          <w:kern w:val="0"/>
          <w:sz w:val="28"/>
          <w:szCs w:val="28"/>
          <w:lang w:val="en-US" w:eastAsia="zh-CN"/>
        </w:rPr>
        <w:t>89.4</w:t>
      </w:r>
      <w:r>
        <w:rPr>
          <w:rFonts w:hint="eastAsia" w:ascii="宋体" w:hAnsi="宋体" w:cs="Arial"/>
          <w:kern w:val="0"/>
          <w:sz w:val="28"/>
          <w:szCs w:val="28"/>
        </w:rPr>
        <w:t>%；经营收入</w:t>
      </w:r>
      <w:r>
        <w:rPr>
          <w:rFonts w:hint="eastAsia" w:ascii="宋体" w:hAnsi="宋体" w:cs="Arial"/>
          <w:kern w:val="0"/>
          <w:sz w:val="28"/>
          <w:szCs w:val="28"/>
          <w:lang w:val="en-US" w:eastAsia="zh-CN"/>
        </w:rPr>
        <w:t>0</w:t>
      </w:r>
      <w:r>
        <w:rPr>
          <w:rFonts w:hint="eastAsia" w:ascii="宋体" w:hAnsi="宋体" w:cs="Arial"/>
          <w:kern w:val="0"/>
          <w:sz w:val="28"/>
          <w:szCs w:val="28"/>
        </w:rPr>
        <w:t>万元，占</w:t>
      </w:r>
      <w:r>
        <w:rPr>
          <w:rFonts w:hint="eastAsia" w:ascii="宋体" w:hAnsi="宋体" w:cs="Arial"/>
          <w:kern w:val="0"/>
          <w:sz w:val="28"/>
          <w:szCs w:val="28"/>
          <w:lang w:val="en-US" w:eastAsia="zh-CN"/>
        </w:rPr>
        <w:t>0</w:t>
      </w:r>
      <w:r>
        <w:rPr>
          <w:rFonts w:hint="eastAsia" w:ascii="宋体" w:hAnsi="宋体" w:cs="Arial"/>
          <w:kern w:val="0"/>
          <w:sz w:val="28"/>
          <w:szCs w:val="28"/>
        </w:rPr>
        <w:t>%；其他收入</w:t>
      </w:r>
      <w:r>
        <w:rPr>
          <w:rFonts w:hint="eastAsia" w:ascii="宋体" w:hAnsi="宋体" w:cs="Arial"/>
          <w:kern w:val="0"/>
          <w:sz w:val="28"/>
          <w:szCs w:val="28"/>
          <w:lang w:val="en-US" w:eastAsia="zh-CN"/>
        </w:rPr>
        <w:t>21.69</w:t>
      </w:r>
      <w:r>
        <w:rPr>
          <w:rFonts w:hint="eastAsia" w:ascii="宋体" w:hAnsi="宋体" w:cs="Arial"/>
          <w:kern w:val="0"/>
          <w:sz w:val="28"/>
          <w:szCs w:val="28"/>
        </w:rPr>
        <w:t>万元，占</w:t>
      </w:r>
      <w:r>
        <w:rPr>
          <w:rFonts w:hint="eastAsia" w:ascii="宋体" w:hAnsi="宋体" w:cs="Arial"/>
          <w:kern w:val="0"/>
          <w:sz w:val="28"/>
          <w:szCs w:val="28"/>
          <w:lang w:val="en-US" w:eastAsia="zh-CN"/>
        </w:rPr>
        <w:t>0.1</w:t>
      </w:r>
      <w:r>
        <w:rPr>
          <w:rFonts w:hint="eastAsia" w:ascii="宋体" w:hAnsi="宋体" w:cs="Arial"/>
          <w:kern w:val="0"/>
          <w:sz w:val="28"/>
          <w:szCs w:val="28"/>
        </w:rPr>
        <w:t xml:space="preserve">%。  </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二、支出决算情况说明</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本部门202</w:t>
      </w:r>
      <w:r>
        <w:rPr>
          <w:rFonts w:hint="eastAsia" w:ascii="宋体" w:hAnsi="宋体"/>
          <w:sz w:val="28"/>
          <w:szCs w:val="28"/>
          <w:lang w:val="en-US" w:eastAsia="zh-CN"/>
        </w:rPr>
        <w:t>1</w:t>
      </w:r>
      <w:r>
        <w:rPr>
          <w:rFonts w:hint="eastAsia" w:ascii="宋体" w:hAnsi="宋体"/>
          <w:sz w:val="28"/>
          <w:szCs w:val="28"/>
        </w:rPr>
        <w:t>年度支出总计</w:t>
      </w:r>
      <w:r>
        <w:rPr>
          <w:rFonts w:hint="eastAsia" w:ascii="宋体" w:hAnsi="宋体"/>
          <w:sz w:val="28"/>
          <w:szCs w:val="28"/>
          <w:lang w:val="en-US" w:eastAsia="zh-CN"/>
        </w:rPr>
        <w:t xml:space="preserve">21591.22 </w:t>
      </w:r>
      <w:r>
        <w:rPr>
          <w:rFonts w:hint="eastAsia" w:ascii="宋体" w:hAnsi="宋体"/>
          <w:sz w:val="28"/>
          <w:szCs w:val="28"/>
        </w:rPr>
        <w:t>万元，较20</w:t>
      </w:r>
      <w:r>
        <w:rPr>
          <w:rFonts w:hint="eastAsia" w:ascii="宋体" w:hAnsi="宋体"/>
          <w:sz w:val="28"/>
          <w:szCs w:val="28"/>
          <w:lang w:val="en-US" w:eastAsia="zh-CN"/>
        </w:rPr>
        <w:t>21</w:t>
      </w:r>
      <w:r>
        <w:rPr>
          <w:rFonts w:hint="eastAsia" w:ascii="宋体" w:hAnsi="宋体"/>
          <w:sz w:val="28"/>
          <w:szCs w:val="28"/>
        </w:rPr>
        <w:t>年增加</w:t>
      </w:r>
      <w:r>
        <w:rPr>
          <w:rFonts w:hint="eastAsia" w:ascii="宋体" w:hAnsi="宋体"/>
          <w:sz w:val="28"/>
          <w:szCs w:val="28"/>
          <w:lang w:val="en-US" w:eastAsia="zh-CN"/>
        </w:rPr>
        <w:t>4714</w:t>
      </w:r>
      <w:r>
        <w:rPr>
          <w:rFonts w:hint="eastAsia" w:ascii="宋体" w:hAnsi="宋体"/>
          <w:sz w:val="28"/>
          <w:szCs w:val="28"/>
        </w:rPr>
        <w:t>万元，增长</w:t>
      </w:r>
      <w:r>
        <w:rPr>
          <w:rFonts w:hint="eastAsia" w:ascii="宋体" w:hAnsi="宋体"/>
          <w:sz w:val="28"/>
          <w:szCs w:val="28"/>
          <w:lang w:val="en-US" w:eastAsia="zh-CN"/>
        </w:rPr>
        <w:t>27.93</w:t>
      </w:r>
      <w:r>
        <w:rPr>
          <w:rFonts w:hint="eastAsia" w:ascii="宋体" w:hAnsi="宋体"/>
          <w:sz w:val="28"/>
          <w:szCs w:val="28"/>
        </w:rPr>
        <w:t>%，主要原因是：</w:t>
      </w:r>
      <w:r>
        <w:rPr>
          <w:rFonts w:hint="eastAsia" w:ascii="宋体" w:hAnsi="宋体"/>
          <w:sz w:val="28"/>
          <w:szCs w:val="28"/>
          <w:lang w:val="en-US" w:eastAsia="zh-CN"/>
        </w:rPr>
        <w:t>机关事业保险拨款，中医事业发展补助</w:t>
      </w:r>
      <w:r>
        <w:rPr>
          <w:rFonts w:hint="eastAsia" w:ascii="宋体" w:hAnsi="宋体"/>
          <w:sz w:val="28"/>
          <w:szCs w:val="28"/>
        </w:rPr>
        <w:t>；年末结转和结余</w:t>
      </w:r>
      <w:r>
        <w:rPr>
          <w:rFonts w:hint="eastAsia" w:ascii="宋体" w:hAnsi="宋体"/>
          <w:sz w:val="28"/>
          <w:szCs w:val="28"/>
          <w:lang w:val="en-US" w:eastAsia="zh-CN"/>
        </w:rPr>
        <w:t>6875.9</w:t>
      </w:r>
      <w:r>
        <w:rPr>
          <w:rFonts w:hint="eastAsia" w:ascii="宋体" w:hAnsi="宋体"/>
          <w:sz w:val="28"/>
          <w:szCs w:val="28"/>
        </w:rPr>
        <w:t>万元。</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本年支出的具体构成为：基本支出</w:t>
      </w:r>
      <w:r>
        <w:rPr>
          <w:rFonts w:hint="eastAsia" w:ascii="宋体" w:hAnsi="宋体"/>
          <w:sz w:val="28"/>
          <w:szCs w:val="28"/>
          <w:lang w:val="en-US" w:eastAsia="zh-CN"/>
        </w:rPr>
        <w:t>20646.16</w:t>
      </w:r>
      <w:r>
        <w:rPr>
          <w:rFonts w:hint="eastAsia" w:ascii="宋体" w:hAnsi="宋体"/>
          <w:sz w:val="28"/>
          <w:szCs w:val="28"/>
        </w:rPr>
        <w:t>万元，占</w:t>
      </w:r>
      <w:r>
        <w:rPr>
          <w:rFonts w:hint="eastAsia" w:ascii="宋体" w:hAnsi="宋体"/>
          <w:sz w:val="28"/>
          <w:szCs w:val="28"/>
          <w:lang w:val="en-US" w:eastAsia="zh-CN"/>
        </w:rPr>
        <w:t>95.6</w:t>
      </w:r>
      <w:r>
        <w:rPr>
          <w:rFonts w:hint="eastAsia" w:ascii="宋体" w:hAnsi="宋体"/>
          <w:sz w:val="28"/>
          <w:szCs w:val="28"/>
        </w:rPr>
        <w:t>%；项目支出</w:t>
      </w:r>
      <w:r>
        <w:rPr>
          <w:rFonts w:hint="eastAsia" w:ascii="宋体" w:hAnsi="宋体"/>
          <w:sz w:val="28"/>
          <w:szCs w:val="28"/>
          <w:lang w:val="en-US" w:eastAsia="zh-CN"/>
        </w:rPr>
        <w:t>945.06</w:t>
      </w:r>
      <w:r>
        <w:rPr>
          <w:rFonts w:hint="eastAsia" w:ascii="宋体" w:hAnsi="宋体"/>
          <w:sz w:val="28"/>
          <w:szCs w:val="28"/>
        </w:rPr>
        <w:t>万元，占</w:t>
      </w:r>
      <w:r>
        <w:rPr>
          <w:rFonts w:hint="eastAsia" w:ascii="宋体" w:hAnsi="宋体"/>
          <w:sz w:val="28"/>
          <w:szCs w:val="28"/>
          <w:lang w:val="en-US" w:eastAsia="zh-CN"/>
        </w:rPr>
        <w:t>4.4</w:t>
      </w:r>
      <w:r>
        <w:rPr>
          <w:rFonts w:hint="eastAsia" w:ascii="宋体" w:hAnsi="宋体"/>
          <w:sz w:val="28"/>
          <w:szCs w:val="28"/>
        </w:rPr>
        <w:t>%；经营支出</w:t>
      </w:r>
      <w:r>
        <w:rPr>
          <w:rFonts w:hint="eastAsia" w:ascii="宋体" w:hAnsi="宋体"/>
          <w:sz w:val="28"/>
          <w:szCs w:val="28"/>
          <w:lang w:val="en-US" w:eastAsia="zh-CN"/>
        </w:rPr>
        <w:t>0</w:t>
      </w:r>
      <w:r>
        <w:rPr>
          <w:rFonts w:hint="eastAsia" w:ascii="宋体" w:hAnsi="宋体"/>
          <w:sz w:val="28"/>
          <w:szCs w:val="28"/>
        </w:rPr>
        <w:t>万元，占</w:t>
      </w:r>
      <w:r>
        <w:rPr>
          <w:rFonts w:hint="eastAsia" w:ascii="宋体" w:hAnsi="宋体"/>
          <w:sz w:val="28"/>
          <w:szCs w:val="28"/>
          <w:lang w:val="en-US" w:eastAsia="zh-CN"/>
        </w:rPr>
        <w:t>0</w:t>
      </w:r>
      <w:r>
        <w:rPr>
          <w:rFonts w:hint="eastAsia" w:ascii="宋体" w:hAnsi="宋体"/>
          <w:sz w:val="28"/>
          <w:szCs w:val="28"/>
        </w:rPr>
        <w:t>%。</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三、财政拨款支出决算情况说明</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本部门202</w:t>
      </w:r>
      <w:r>
        <w:rPr>
          <w:rFonts w:hint="eastAsia" w:ascii="宋体" w:hAnsi="宋体"/>
          <w:sz w:val="28"/>
          <w:szCs w:val="28"/>
          <w:lang w:val="en-US" w:eastAsia="zh-CN"/>
        </w:rPr>
        <w:t>1</w:t>
      </w:r>
      <w:r>
        <w:rPr>
          <w:rFonts w:hint="eastAsia" w:ascii="宋体" w:hAnsi="宋体"/>
          <w:sz w:val="28"/>
          <w:szCs w:val="28"/>
        </w:rPr>
        <w:t>年度财政拨款本年支出年初预算数为</w:t>
      </w:r>
      <w:r>
        <w:rPr>
          <w:rFonts w:hint="eastAsia" w:ascii="宋体" w:hAnsi="宋体"/>
          <w:sz w:val="28"/>
          <w:szCs w:val="28"/>
          <w:lang w:val="en-US" w:eastAsia="zh-CN"/>
        </w:rPr>
        <w:t>3054.19</w:t>
      </w:r>
      <w:r>
        <w:rPr>
          <w:rFonts w:hint="eastAsia" w:ascii="宋体" w:hAnsi="宋体"/>
          <w:sz w:val="28"/>
          <w:szCs w:val="28"/>
        </w:rPr>
        <w:t>万元，决算数为</w:t>
      </w:r>
      <w:r>
        <w:rPr>
          <w:rFonts w:hint="eastAsia" w:ascii="宋体" w:hAnsi="宋体"/>
          <w:sz w:val="28"/>
          <w:szCs w:val="28"/>
          <w:lang w:val="en-US" w:eastAsia="zh-CN"/>
        </w:rPr>
        <w:t>3054.19</w:t>
      </w:r>
      <w:r>
        <w:rPr>
          <w:rFonts w:hint="eastAsia" w:ascii="宋体" w:hAnsi="宋体"/>
          <w:sz w:val="28"/>
          <w:szCs w:val="28"/>
        </w:rPr>
        <w:t>万元，完成年初预算的</w:t>
      </w:r>
      <w:r>
        <w:rPr>
          <w:rFonts w:hint="eastAsia" w:ascii="宋体" w:hAnsi="宋体"/>
          <w:sz w:val="28"/>
          <w:szCs w:val="28"/>
          <w:lang w:val="en-US" w:eastAsia="zh-CN"/>
        </w:rPr>
        <w:t>100</w:t>
      </w:r>
      <w:r>
        <w:rPr>
          <w:rFonts w:hint="eastAsia" w:ascii="宋体" w:hAnsi="宋体"/>
          <w:sz w:val="28"/>
          <w:szCs w:val="28"/>
        </w:rPr>
        <w:t>%。其中：</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（一）一般公共服务支出年初预算数为</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（二）</w:t>
      </w:r>
      <w:r>
        <w:rPr>
          <w:rFonts w:hint="eastAsia" w:ascii="宋体" w:hAnsi="宋体"/>
          <w:sz w:val="28"/>
          <w:szCs w:val="28"/>
          <w:lang w:eastAsia="zh-CN"/>
        </w:rPr>
        <w:t>卫生健康支出</w:t>
      </w:r>
      <w:r>
        <w:rPr>
          <w:rFonts w:hint="eastAsia" w:ascii="宋体" w:hAnsi="宋体"/>
          <w:sz w:val="28"/>
          <w:szCs w:val="28"/>
        </w:rPr>
        <w:t>年初预算数为</w:t>
      </w:r>
      <w:r>
        <w:rPr>
          <w:rFonts w:hint="eastAsia" w:ascii="宋体" w:hAnsi="宋体"/>
          <w:sz w:val="28"/>
          <w:szCs w:val="28"/>
          <w:lang w:val="en-US" w:eastAsia="zh-CN"/>
        </w:rPr>
        <w:t>1593.69</w:t>
      </w:r>
      <w:r>
        <w:rPr>
          <w:rFonts w:hint="eastAsia" w:ascii="宋体" w:hAnsi="宋体"/>
          <w:sz w:val="28"/>
          <w:szCs w:val="28"/>
        </w:rPr>
        <w:t>万元，决算数为</w:t>
      </w:r>
      <w:r>
        <w:rPr>
          <w:rFonts w:hint="eastAsia" w:ascii="宋体" w:hAnsi="宋体"/>
          <w:sz w:val="28"/>
          <w:szCs w:val="28"/>
          <w:lang w:val="en-US" w:eastAsia="zh-CN"/>
        </w:rPr>
        <w:t>1593.69</w:t>
      </w:r>
      <w:r>
        <w:rPr>
          <w:rFonts w:hint="eastAsia" w:ascii="宋体" w:hAnsi="宋体"/>
          <w:sz w:val="28"/>
          <w:szCs w:val="28"/>
        </w:rPr>
        <w:t>万元，完成年初预算的</w:t>
      </w:r>
      <w:r>
        <w:rPr>
          <w:rFonts w:hint="eastAsia" w:ascii="宋体" w:hAnsi="宋体"/>
          <w:sz w:val="28"/>
          <w:szCs w:val="28"/>
          <w:lang w:val="en-US" w:eastAsia="zh-CN"/>
        </w:rPr>
        <w:t>100</w:t>
      </w:r>
      <w:r>
        <w:rPr>
          <w:rFonts w:hint="eastAsia" w:ascii="宋体" w:hAnsi="宋体"/>
          <w:sz w:val="28"/>
          <w:szCs w:val="28"/>
        </w:rPr>
        <w:t>%。</w:t>
      </w:r>
    </w:p>
    <w:p>
      <w:pPr>
        <w:snapToGrid w:val="0"/>
        <w:spacing w:line="520" w:lineRule="exact"/>
        <w:ind w:firstLine="560" w:firstLineChars="200"/>
        <w:rPr>
          <w:rFonts w:hint="eastAsia" w:ascii="宋体" w:hAnsi="宋体" w:eastAsia="宋体"/>
          <w:sz w:val="28"/>
          <w:szCs w:val="28"/>
          <w:lang w:eastAsia="zh-CN"/>
        </w:rPr>
      </w:pPr>
      <w:r>
        <w:rPr>
          <w:rFonts w:hint="eastAsia" w:ascii="宋体" w:hAnsi="宋体"/>
          <w:sz w:val="28"/>
          <w:szCs w:val="28"/>
          <w:lang w:eastAsia="zh-CN"/>
        </w:rPr>
        <w:t>（</w:t>
      </w:r>
      <w:r>
        <w:rPr>
          <w:rFonts w:hint="eastAsia" w:ascii="宋体" w:hAnsi="宋体"/>
          <w:sz w:val="28"/>
          <w:szCs w:val="28"/>
          <w:lang w:val="en-US" w:eastAsia="zh-CN"/>
        </w:rPr>
        <w:t>三</w:t>
      </w:r>
      <w:r>
        <w:rPr>
          <w:rFonts w:hint="eastAsia" w:ascii="宋体" w:hAnsi="宋体"/>
          <w:sz w:val="28"/>
          <w:szCs w:val="28"/>
          <w:lang w:eastAsia="zh-CN"/>
        </w:rPr>
        <w:t>）社会保障和就业支出</w:t>
      </w:r>
      <w:r>
        <w:rPr>
          <w:rFonts w:hint="eastAsia" w:ascii="宋体" w:hAnsi="宋体"/>
          <w:sz w:val="28"/>
          <w:szCs w:val="28"/>
        </w:rPr>
        <w:t>年初预算数为</w:t>
      </w:r>
      <w:r>
        <w:rPr>
          <w:rFonts w:hint="eastAsia" w:ascii="宋体" w:hAnsi="宋体"/>
          <w:sz w:val="28"/>
          <w:szCs w:val="28"/>
          <w:lang w:val="en-US" w:eastAsia="zh-CN"/>
        </w:rPr>
        <w:t>1060.5</w:t>
      </w:r>
      <w:r>
        <w:rPr>
          <w:rFonts w:hint="eastAsia" w:ascii="宋体" w:hAnsi="宋体"/>
          <w:sz w:val="28"/>
          <w:szCs w:val="28"/>
        </w:rPr>
        <w:t>万元，决算数为</w:t>
      </w:r>
      <w:r>
        <w:rPr>
          <w:rFonts w:hint="eastAsia" w:ascii="宋体" w:hAnsi="宋体"/>
          <w:sz w:val="28"/>
          <w:szCs w:val="28"/>
          <w:lang w:val="en-US" w:eastAsia="zh-CN"/>
        </w:rPr>
        <w:t>1060.5</w:t>
      </w:r>
      <w:r>
        <w:rPr>
          <w:rFonts w:hint="eastAsia" w:ascii="宋体" w:hAnsi="宋体"/>
          <w:sz w:val="28"/>
          <w:szCs w:val="28"/>
        </w:rPr>
        <w:t>万元，完成年初预算的</w:t>
      </w:r>
      <w:r>
        <w:rPr>
          <w:rFonts w:hint="eastAsia" w:ascii="宋体" w:hAnsi="宋体"/>
          <w:sz w:val="28"/>
          <w:szCs w:val="28"/>
          <w:lang w:val="en-US" w:eastAsia="zh-CN"/>
        </w:rPr>
        <w:t>100</w:t>
      </w:r>
      <w:r>
        <w:rPr>
          <w:rFonts w:hint="eastAsia" w:ascii="宋体" w:hAnsi="宋体"/>
          <w:sz w:val="28"/>
          <w:szCs w:val="28"/>
        </w:rPr>
        <w:t>%。</w:t>
      </w:r>
    </w:p>
    <w:p>
      <w:pPr>
        <w:snapToGrid w:val="0"/>
        <w:spacing w:line="520" w:lineRule="exact"/>
        <w:ind w:firstLine="560" w:firstLineChars="200"/>
        <w:rPr>
          <w:rFonts w:hint="eastAsia" w:ascii="宋体" w:hAnsi="宋体"/>
          <w:sz w:val="28"/>
          <w:szCs w:val="28"/>
        </w:rPr>
      </w:pPr>
      <w:r>
        <w:rPr>
          <w:rFonts w:hint="eastAsia" w:ascii="宋体" w:hAnsi="宋体"/>
          <w:sz w:val="28"/>
          <w:szCs w:val="28"/>
          <w:lang w:eastAsia="zh-CN"/>
        </w:rPr>
        <w:t>（</w:t>
      </w:r>
      <w:r>
        <w:rPr>
          <w:rFonts w:hint="eastAsia" w:ascii="宋体" w:hAnsi="宋体"/>
          <w:sz w:val="28"/>
          <w:szCs w:val="28"/>
          <w:lang w:val="en-US" w:eastAsia="zh-CN"/>
        </w:rPr>
        <w:t>四</w:t>
      </w:r>
      <w:r>
        <w:rPr>
          <w:rFonts w:hint="eastAsia" w:ascii="宋体" w:hAnsi="宋体"/>
          <w:sz w:val="28"/>
          <w:szCs w:val="28"/>
          <w:lang w:eastAsia="zh-CN"/>
        </w:rPr>
        <w:t>）</w:t>
      </w:r>
      <w:r>
        <w:rPr>
          <w:rFonts w:hint="eastAsia" w:ascii="宋体" w:hAnsi="宋体"/>
          <w:sz w:val="28"/>
          <w:szCs w:val="28"/>
        </w:rPr>
        <w:t>其他支出年初预算数为</w:t>
      </w:r>
      <w:r>
        <w:rPr>
          <w:rFonts w:hint="eastAsia" w:ascii="宋体" w:hAnsi="宋体"/>
          <w:sz w:val="28"/>
          <w:szCs w:val="28"/>
          <w:lang w:val="en-US" w:eastAsia="zh-CN"/>
        </w:rPr>
        <w:t>400</w:t>
      </w:r>
      <w:r>
        <w:rPr>
          <w:rFonts w:hint="eastAsia" w:ascii="宋体" w:hAnsi="宋体"/>
          <w:sz w:val="28"/>
          <w:szCs w:val="28"/>
        </w:rPr>
        <w:t>万元，决算数为</w:t>
      </w:r>
      <w:r>
        <w:rPr>
          <w:rFonts w:hint="eastAsia" w:ascii="宋体" w:hAnsi="宋体"/>
          <w:sz w:val="28"/>
          <w:szCs w:val="28"/>
          <w:lang w:val="en-US" w:eastAsia="zh-CN"/>
        </w:rPr>
        <w:t>400</w:t>
      </w:r>
      <w:r>
        <w:rPr>
          <w:rFonts w:hint="eastAsia" w:ascii="宋体" w:hAnsi="宋体"/>
          <w:sz w:val="28"/>
          <w:szCs w:val="28"/>
        </w:rPr>
        <w:t>万元，完成年初预算的</w:t>
      </w:r>
      <w:r>
        <w:rPr>
          <w:rFonts w:hint="eastAsia" w:ascii="宋体" w:hAnsi="宋体"/>
          <w:sz w:val="28"/>
          <w:szCs w:val="28"/>
          <w:lang w:val="en-US" w:eastAsia="zh-CN"/>
        </w:rPr>
        <w:t>100</w:t>
      </w:r>
      <w:r>
        <w:rPr>
          <w:rFonts w:hint="eastAsia" w:ascii="宋体" w:hAnsi="宋体"/>
          <w:sz w:val="28"/>
          <w:szCs w:val="28"/>
        </w:rPr>
        <w:t>%。</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四、一般公共预算财政拨款基本支出决算情况说明</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本部门202</w:t>
      </w:r>
      <w:r>
        <w:rPr>
          <w:rFonts w:hint="eastAsia" w:ascii="宋体" w:hAnsi="宋体"/>
          <w:sz w:val="28"/>
          <w:szCs w:val="28"/>
          <w:lang w:val="en-US" w:eastAsia="zh-CN"/>
        </w:rPr>
        <w:t>1</w:t>
      </w:r>
      <w:r>
        <w:rPr>
          <w:rFonts w:hint="eastAsia" w:ascii="宋体" w:hAnsi="宋体"/>
          <w:sz w:val="28"/>
          <w:szCs w:val="28"/>
        </w:rPr>
        <w:t>年度一般公共预算财政拨款基本支出</w:t>
      </w:r>
      <w:r>
        <w:rPr>
          <w:rFonts w:hint="eastAsia" w:ascii="宋体" w:hAnsi="宋体"/>
          <w:sz w:val="28"/>
          <w:szCs w:val="28"/>
          <w:lang w:val="en-US" w:eastAsia="zh-CN"/>
        </w:rPr>
        <w:t>2109.13</w:t>
      </w:r>
      <w:r>
        <w:rPr>
          <w:rFonts w:hint="eastAsia" w:ascii="宋体" w:hAnsi="宋体"/>
          <w:sz w:val="28"/>
          <w:szCs w:val="28"/>
        </w:rPr>
        <w:t>万元，其中：</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（一）工资福利支出</w:t>
      </w:r>
      <w:r>
        <w:rPr>
          <w:rFonts w:hint="eastAsia" w:ascii="宋体" w:hAnsi="宋体"/>
          <w:sz w:val="28"/>
          <w:szCs w:val="28"/>
          <w:lang w:val="en-US" w:eastAsia="zh-CN"/>
        </w:rPr>
        <w:t>2000.81</w:t>
      </w:r>
      <w:r>
        <w:rPr>
          <w:rFonts w:hint="eastAsia" w:ascii="宋体" w:hAnsi="宋体"/>
          <w:sz w:val="28"/>
          <w:szCs w:val="28"/>
        </w:rPr>
        <w:t>万元，较20</w:t>
      </w:r>
      <w:r>
        <w:rPr>
          <w:rFonts w:hint="eastAsia" w:ascii="宋体" w:hAnsi="宋体"/>
          <w:sz w:val="28"/>
          <w:szCs w:val="28"/>
          <w:lang w:val="en-US" w:eastAsia="zh-CN"/>
        </w:rPr>
        <w:t>20</w:t>
      </w:r>
      <w:r>
        <w:rPr>
          <w:rFonts w:hint="eastAsia" w:ascii="宋体" w:hAnsi="宋体"/>
          <w:sz w:val="28"/>
          <w:szCs w:val="28"/>
        </w:rPr>
        <w:t>年</w:t>
      </w:r>
      <w:r>
        <w:rPr>
          <w:rFonts w:hint="eastAsia" w:ascii="宋体" w:hAnsi="宋体"/>
          <w:sz w:val="28"/>
          <w:szCs w:val="28"/>
          <w:lang w:val="en-US" w:eastAsia="zh-CN"/>
        </w:rPr>
        <w:t>增加1310.78</w:t>
      </w:r>
      <w:r>
        <w:rPr>
          <w:rFonts w:hint="eastAsia" w:ascii="宋体" w:hAnsi="宋体"/>
          <w:sz w:val="28"/>
          <w:szCs w:val="28"/>
        </w:rPr>
        <w:t>万元，</w:t>
      </w:r>
      <w:r>
        <w:rPr>
          <w:rFonts w:hint="eastAsia" w:ascii="宋体" w:hAnsi="宋体"/>
          <w:sz w:val="28"/>
          <w:szCs w:val="28"/>
          <w:lang w:val="en-US" w:eastAsia="zh-CN"/>
        </w:rPr>
        <w:t>增长205%</w:t>
      </w:r>
      <w:r>
        <w:rPr>
          <w:rFonts w:hint="eastAsia" w:ascii="宋体" w:hAnsi="宋体"/>
          <w:sz w:val="28"/>
          <w:szCs w:val="28"/>
        </w:rPr>
        <w:t>，主要原因是：</w:t>
      </w:r>
      <w:r>
        <w:rPr>
          <w:rFonts w:hint="eastAsia" w:ascii="宋体" w:hAnsi="宋体"/>
          <w:sz w:val="28"/>
          <w:szCs w:val="28"/>
          <w:lang w:val="en-US" w:eastAsia="zh-CN"/>
        </w:rPr>
        <w:t>收到了1060.5万机关事业保险经费</w:t>
      </w:r>
      <w:r>
        <w:rPr>
          <w:rFonts w:hint="eastAsia" w:ascii="宋体" w:hAnsi="宋体"/>
          <w:sz w:val="28"/>
          <w:szCs w:val="28"/>
        </w:rPr>
        <w:t>。</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（二）商品和服务支出</w:t>
      </w:r>
      <w:r>
        <w:rPr>
          <w:rFonts w:hint="eastAsia" w:ascii="宋体" w:hAnsi="宋体"/>
          <w:sz w:val="28"/>
          <w:szCs w:val="28"/>
          <w:lang w:val="en-US" w:eastAsia="zh-CN"/>
        </w:rPr>
        <w:t>0</w:t>
      </w:r>
      <w:r>
        <w:rPr>
          <w:rFonts w:hint="eastAsia" w:ascii="宋体" w:hAnsi="宋体"/>
          <w:sz w:val="28"/>
          <w:szCs w:val="28"/>
        </w:rPr>
        <w:t>万元，较20</w:t>
      </w:r>
      <w:r>
        <w:rPr>
          <w:rFonts w:hint="eastAsia" w:ascii="宋体" w:hAnsi="宋体"/>
          <w:sz w:val="28"/>
          <w:szCs w:val="28"/>
          <w:lang w:val="en-US" w:eastAsia="zh-CN"/>
        </w:rPr>
        <w:t>20</w:t>
      </w:r>
      <w:r>
        <w:rPr>
          <w:rFonts w:hint="eastAsia" w:ascii="宋体" w:hAnsi="宋体"/>
          <w:sz w:val="28"/>
          <w:szCs w:val="28"/>
        </w:rPr>
        <w:t>年减少</w:t>
      </w:r>
      <w:r>
        <w:rPr>
          <w:rFonts w:hint="eastAsia" w:ascii="宋体" w:hAnsi="宋体"/>
          <w:sz w:val="28"/>
          <w:szCs w:val="28"/>
          <w:lang w:val="en-US" w:eastAsia="zh-CN"/>
        </w:rPr>
        <w:t>216.3</w:t>
      </w:r>
      <w:r>
        <w:rPr>
          <w:rFonts w:hint="eastAsia" w:ascii="宋体" w:hAnsi="宋体"/>
          <w:sz w:val="28"/>
          <w:szCs w:val="28"/>
        </w:rPr>
        <w:t>万元，主要原因是：</w:t>
      </w:r>
      <w:r>
        <w:rPr>
          <w:rFonts w:hint="eastAsia" w:ascii="宋体" w:hAnsi="宋体"/>
          <w:sz w:val="28"/>
          <w:szCs w:val="28"/>
          <w:lang w:val="en-US" w:eastAsia="zh-CN"/>
        </w:rPr>
        <w:t>减少了了216万元租赁费</w:t>
      </w:r>
      <w:r>
        <w:rPr>
          <w:rFonts w:hint="eastAsia" w:ascii="宋体" w:hAnsi="宋体"/>
          <w:sz w:val="28"/>
          <w:szCs w:val="28"/>
        </w:rPr>
        <w:t>。</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（三）对个人和家庭补助支出</w:t>
      </w:r>
      <w:r>
        <w:rPr>
          <w:rFonts w:hint="eastAsia" w:ascii="宋体" w:hAnsi="宋体"/>
          <w:sz w:val="28"/>
          <w:szCs w:val="28"/>
          <w:lang w:val="en-US" w:eastAsia="zh-CN"/>
        </w:rPr>
        <w:t>108.32</w:t>
      </w:r>
      <w:r>
        <w:rPr>
          <w:rFonts w:hint="eastAsia" w:ascii="宋体" w:hAnsi="宋体"/>
          <w:sz w:val="28"/>
          <w:szCs w:val="28"/>
        </w:rPr>
        <w:t>万元，较20</w:t>
      </w:r>
      <w:r>
        <w:rPr>
          <w:rFonts w:hint="eastAsia" w:ascii="宋体" w:hAnsi="宋体"/>
          <w:sz w:val="28"/>
          <w:szCs w:val="28"/>
          <w:lang w:val="en-US" w:eastAsia="zh-CN"/>
        </w:rPr>
        <w:t>20</w:t>
      </w:r>
      <w:r>
        <w:rPr>
          <w:rFonts w:hint="eastAsia" w:ascii="宋体" w:hAnsi="宋体"/>
          <w:sz w:val="28"/>
          <w:szCs w:val="28"/>
        </w:rPr>
        <w:t>年</w:t>
      </w:r>
      <w:r>
        <w:rPr>
          <w:rFonts w:hint="eastAsia" w:ascii="宋体" w:hAnsi="宋体"/>
          <w:sz w:val="28"/>
          <w:szCs w:val="28"/>
          <w:lang w:val="en-US" w:eastAsia="zh-CN"/>
        </w:rPr>
        <w:t>减少203.44</w:t>
      </w:r>
      <w:r>
        <w:rPr>
          <w:rFonts w:hint="eastAsia" w:ascii="宋体" w:hAnsi="宋体"/>
          <w:sz w:val="28"/>
          <w:szCs w:val="28"/>
        </w:rPr>
        <w:t>万元，</w:t>
      </w:r>
      <w:r>
        <w:rPr>
          <w:rFonts w:hint="eastAsia" w:ascii="宋体" w:hAnsi="宋体"/>
          <w:sz w:val="28"/>
          <w:szCs w:val="28"/>
          <w:lang w:val="en-US" w:eastAsia="zh-CN"/>
        </w:rPr>
        <w:t>下降65</w:t>
      </w:r>
      <w:r>
        <w:rPr>
          <w:rFonts w:hint="eastAsia" w:ascii="宋体" w:hAnsi="宋体"/>
          <w:sz w:val="28"/>
          <w:szCs w:val="28"/>
        </w:rPr>
        <w:t>%，主要原因是：</w:t>
      </w:r>
      <w:r>
        <w:rPr>
          <w:rFonts w:hint="eastAsia" w:ascii="宋体" w:hAnsi="宋体"/>
          <w:sz w:val="28"/>
          <w:szCs w:val="28"/>
          <w:lang w:val="en-US" w:eastAsia="zh-CN"/>
        </w:rPr>
        <w:t>离退休人员退休支出由社保全额负担，医院不再支付</w:t>
      </w:r>
      <w:r>
        <w:rPr>
          <w:rFonts w:hint="eastAsia" w:ascii="宋体" w:hAnsi="宋体"/>
          <w:sz w:val="28"/>
          <w:szCs w:val="28"/>
        </w:rPr>
        <w:t>。</w:t>
      </w:r>
    </w:p>
    <w:p>
      <w:pPr>
        <w:snapToGrid w:val="0"/>
        <w:spacing w:line="520" w:lineRule="exact"/>
        <w:ind w:firstLine="560" w:firstLineChars="200"/>
        <w:rPr>
          <w:rFonts w:hint="eastAsia" w:ascii="宋体" w:hAnsi="宋体" w:eastAsia="宋体"/>
          <w:sz w:val="28"/>
          <w:szCs w:val="28"/>
          <w:lang w:eastAsia="zh-CN"/>
        </w:rPr>
      </w:pPr>
      <w:r>
        <w:rPr>
          <w:rFonts w:hint="eastAsia" w:ascii="宋体" w:hAnsi="宋体"/>
          <w:sz w:val="28"/>
          <w:szCs w:val="28"/>
        </w:rPr>
        <w:t>（四）资本性支出</w:t>
      </w:r>
      <w:r>
        <w:rPr>
          <w:rFonts w:hint="eastAsia" w:ascii="宋体" w:hAnsi="宋体"/>
          <w:sz w:val="28"/>
          <w:szCs w:val="28"/>
          <w:lang w:val="en-US" w:eastAsia="zh-CN"/>
        </w:rPr>
        <w:t>0</w:t>
      </w:r>
      <w:r>
        <w:rPr>
          <w:rFonts w:hint="eastAsia" w:ascii="宋体" w:hAnsi="宋体"/>
          <w:sz w:val="28"/>
          <w:szCs w:val="28"/>
        </w:rPr>
        <w:t>万元</w:t>
      </w:r>
      <w:r>
        <w:rPr>
          <w:rFonts w:hint="eastAsia" w:ascii="宋体" w:hAnsi="宋体"/>
          <w:sz w:val="28"/>
          <w:szCs w:val="28"/>
          <w:lang w:eastAsia="zh-CN"/>
        </w:rPr>
        <w:t>，</w:t>
      </w:r>
      <w:r>
        <w:rPr>
          <w:rFonts w:hint="eastAsia" w:ascii="宋体" w:hAnsi="宋体"/>
          <w:sz w:val="28"/>
          <w:szCs w:val="28"/>
        </w:rPr>
        <w:t>较20</w:t>
      </w:r>
      <w:r>
        <w:rPr>
          <w:rFonts w:hint="eastAsia" w:ascii="宋体" w:hAnsi="宋体"/>
          <w:sz w:val="28"/>
          <w:szCs w:val="28"/>
          <w:lang w:val="en-US" w:eastAsia="zh-CN"/>
        </w:rPr>
        <w:t>20</w:t>
      </w:r>
      <w:r>
        <w:rPr>
          <w:rFonts w:hint="eastAsia" w:ascii="宋体" w:hAnsi="宋体"/>
          <w:sz w:val="28"/>
          <w:szCs w:val="28"/>
        </w:rPr>
        <w:t>年</w:t>
      </w:r>
      <w:r>
        <w:rPr>
          <w:rFonts w:hint="eastAsia" w:ascii="宋体" w:hAnsi="宋体"/>
          <w:sz w:val="28"/>
          <w:szCs w:val="28"/>
          <w:lang w:val="en-US" w:eastAsia="zh-CN"/>
        </w:rPr>
        <w:t>减少0</w:t>
      </w:r>
      <w:r>
        <w:rPr>
          <w:rFonts w:hint="eastAsia" w:ascii="宋体" w:hAnsi="宋体"/>
          <w:sz w:val="28"/>
          <w:szCs w:val="28"/>
        </w:rPr>
        <w:t>万元，</w:t>
      </w:r>
      <w:r>
        <w:rPr>
          <w:rFonts w:hint="eastAsia" w:ascii="宋体" w:hAnsi="宋体"/>
          <w:sz w:val="28"/>
          <w:szCs w:val="28"/>
          <w:lang w:val="en-US" w:eastAsia="zh-CN"/>
        </w:rPr>
        <w:t>下降0</w:t>
      </w:r>
      <w:r>
        <w:rPr>
          <w:rFonts w:hint="eastAsia" w:ascii="宋体" w:hAnsi="宋体"/>
          <w:sz w:val="28"/>
          <w:szCs w:val="28"/>
        </w:rPr>
        <w:t>%，主要原因是：</w:t>
      </w:r>
      <w:r>
        <w:rPr>
          <w:rFonts w:hint="eastAsia" w:ascii="宋体" w:hAnsi="宋体"/>
          <w:sz w:val="28"/>
          <w:szCs w:val="28"/>
          <w:lang w:val="en-US" w:eastAsia="zh-CN"/>
        </w:rPr>
        <w:t>无</w:t>
      </w:r>
      <w:r>
        <w:rPr>
          <w:rFonts w:hint="eastAsia" w:ascii="宋体" w:hAnsi="宋体"/>
          <w:sz w:val="28"/>
          <w:szCs w:val="28"/>
          <w:lang w:eastAsia="zh-CN"/>
        </w:rPr>
        <w:t>。</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五、一般公共预算财政拨款“三公”经费支出决算情况说明</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本部门202</w:t>
      </w:r>
      <w:r>
        <w:rPr>
          <w:rFonts w:hint="eastAsia" w:ascii="宋体" w:hAnsi="宋体"/>
          <w:sz w:val="28"/>
          <w:szCs w:val="28"/>
          <w:lang w:val="en-US" w:eastAsia="zh-CN"/>
        </w:rPr>
        <w:t>1</w:t>
      </w:r>
      <w:r>
        <w:rPr>
          <w:rFonts w:hint="eastAsia" w:ascii="宋体" w:hAnsi="宋体"/>
          <w:sz w:val="28"/>
          <w:szCs w:val="28"/>
        </w:rPr>
        <w:t>年度一般公共预算财政拨款“三公”经费支出年初预算数为</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万元，完成预算的</w:t>
      </w:r>
      <w:r>
        <w:rPr>
          <w:rFonts w:hint="eastAsia" w:ascii="宋体" w:hAnsi="宋体"/>
          <w:sz w:val="28"/>
          <w:szCs w:val="28"/>
          <w:lang w:val="en-US" w:eastAsia="zh-CN"/>
        </w:rPr>
        <w:t>0</w:t>
      </w:r>
      <w:r>
        <w:rPr>
          <w:rFonts w:hint="eastAsia" w:ascii="宋体" w:hAnsi="宋体"/>
          <w:sz w:val="28"/>
          <w:szCs w:val="28"/>
        </w:rPr>
        <w:t xml:space="preserve"> %，决算数较20</w:t>
      </w:r>
      <w:r>
        <w:rPr>
          <w:rFonts w:hint="eastAsia" w:ascii="宋体" w:hAnsi="宋体"/>
          <w:sz w:val="28"/>
          <w:szCs w:val="28"/>
          <w:lang w:val="en-US" w:eastAsia="zh-CN"/>
        </w:rPr>
        <w:t>20</w:t>
      </w:r>
      <w:r>
        <w:rPr>
          <w:rFonts w:hint="eastAsia" w:ascii="宋体" w:hAnsi="宋体"/>
          <w:sz w:val="28"/>
          <w:szCs w:val="28"/>
        </w:rPr>
        <w:t>年增加（减少）</w:t>
      </w:r>
      <w:r>
        <w:rPr>
          <w:rFonts w:hint="eastAsia" w:ascii="宋体" w:hAnsi="宋体"/>
          <w:sz w:val="28"/>
          <w:szCs w:val="28"/>
          <w:lang w:val="en-US" w:eastAsia="zh-CN"/>
        </w:rPr>
        <w:t>0</w:t>
      </w:r>
      <w:r>
        <w:rPr>
          <w:rFonts w:hint="eastAsia" w:ascii="宋体" w:hAnsi="宋体"/>
          <w:sz w:val="28"/>
          <w:szCs w:val="28"/>
        </w:rPr>
        <w:t>万元，增长（下降）</w:t>
      </w:r>
      <w:r>
        <w:rPr>
          <w:rFonts w:hint="eastAsia" w:ascii="宋体" w:hAnsi="宋体"/>
          <w:sz w:val="28"/>
          <w:szCs w:val="28"/>
          <w:lang w:val="en-US" w:eastAsia="zh-CN"/>
        </w:rPr>
        <w:t>0</w:t>
      </w:r>
      <w:r>
        <w:rPr>
          <w:rFonts w:hint="eastAsia" w:ascii="宋体" w:hAnsi="宋体"/>
          <w:sz w:val="28"/>
          <w:szCs w:val="28"/>
        </w:rPr>
        <w:t>%，其中：</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 xml:space="preserve">因公出国（境）支出年初预算数为 </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万元，完成预算的</w:t>
      </w:r>
      <w:r>
        <w:rPr>
          <w:rFonts w:hint="eastAsia" w:ascii="宋体" w:hAnsi="宋体"/>
          <w:sz w:val="28"/>
          <w:szCs w:val="28"/>
          <w:lang w:val="en-US" w:eastAsia="zh-CN"/>
        </w:rPr>
        <w:t>0</w:t>
      </w:r>
      <w:r>
        <w:rPr>
          <w:rFonts w:hint="eastAsia" w:ascii="宋体" w:hAnsi="宋体"/>
          <w:sz w:val="28"/>
          <w:szCs w:val="28"/>
        </w:rPr>
        <w:t>%，决算数较20</w:t>
      </w:r>
      <w:r>
        <w:rPr>
          <w:rFonts w:hint="eastAsia" w:ascii="宋体" w:hAnsi="宋体"/>
          <w:sz w:val="28"/>
          <w:szCs w:val="28"/>
          <w:lang w:val="en-US" w:eastAsia="zh-CN"/>
        </w:rPr>
        <w:t>20</w:t>
      </w:r>
      <w:r>
        <w:rPr>
          <w:rFonts w:hint="eastAsia" w:ascii="宋体" w:hAnsi="宋体"/>
          <w:sz w:val="28"/>
          <w:szCs w:val="28"/>
        </w:rPr>
        <w:t>年增加（减少）</w:t>
      </w:r>
      <w:r>
        <w:rPr>
          <w:rFonts w:hint="eastAsia" w:ascii="宋体" w:hAnsi="宋体"/>
          <w:sz w:val="28"/>
          <w:szCs w:val="28"/>
          <w:lang w:val="en-US" w:eastAsia="zh-CN"/>
        </w:rPr>
        <w:t>0</w:t>
      </w:r>
      <w:r>
        <w:rPr>
          <w:rFonts w:hint="eastAsia" w:ascii="宋体" w:hAnsi="宋体"/>
          <w:sz w:val="28"/>
          <w:szCs w:val="28"/>
        </w:rPr>
        <w:t>万元，增长（下降）</w:t>
      </w:r>
      <w:r>
        <w:rPr>
          <w:rFonts w:hint="eastAsia" w:ascii="宋体" w:hAnsi="宋体"/>
          <w:sz w:val="28"/>
          <w:szCs w:val="28"/>
          <w:lang w:val="en-US" w:eastAsia="zh-CN"/>
        </w:rPr>
        <w:t>0</w:t>
      </w:r>
      <w:r>
        <w:rPr>
          <w:rFonts w:hint="eastAsia" w:ascii="宋体" w:hAnsi="宋体"/>
          <w:sz w:val="28"/>
          <w:szCs w:val="28"/>
        </w:rPr>
        <w:t xml:space="preserve"> %。</w:t>
      </w:r>
    </w:p>
    <w:p>
      <w:pPr>
        <w:snapToGrid w:val="0"/>
        <w:spacing w:line="520" w:lineRule="exact"/>
        <w:ind w:firstLine="560" w:firstLineChars="200"/>
        <w:rPr>
          <w:rFonts w:hint="eastAsia" w:ascii="宋体" w:hAnsi="宋体"/>
          <w:sz w:val="28"/>
          <w:szCs w:val="28"/>
        </w:rPr>
      </w:pPr>
      <w:r>
        <w:rPr>
          <w:rFonts w:hint="eastAsia" w:ascii="宋体" w:hAnsi="宋体"/>
          <w:sz w:val="28"/>
          <w:szCs w:val="28"/>
        </w:rPr>
        <w:t>（二）公务接待费支出年初预算数为</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万元，完成预算的</w:t>
      </w:r>
      <w:r>
        <w:rPr>
          <w:rFonts w:hint="eastAsia" w:ascii="宋体" w:hAnsi="宋体"/>
          <w:sz w:val="28"/>
          <w:szCs w:val="28"/>
          <w:lang w:val="en-US" w:eastAsia="zh-CN"/>
        </w:rPr>
        <w:t>0</w:t>
      </w:r>
      <w:r>
        <w:rPr>
          <w:rFonts w:hint="eastAsia" w:ascii="宋体" w:hAnsi="宋体"/>
          <w:sz w:val="28"/>
          <w:szCs w:val="28"/>
        </w:rPr>
        <w:t xml:space="preserve"> %，决算数较20</w:t>
      </w:r>
      <w:r>
        <w:rPr>
          <w:rFonts w:hint="eastAsia" w:ascii="宋体" w:hAnsi="宋体"/>
          <w:sz w:val="28"/>
          <w:szCs w:val="28"/>
          <w:lang w:val="en-US" w:eastAsia="zh-CN"/>
        </w:rPr>
        <w:t>20</w:t>
      </w:r>
      <w:r>
        <w:rPr>
          <w:rFonts w:hint="eastAsia" w:ascii="宋体" w:hAnsi="宋体"/>
          <w:sz w:val="28"/>
          <w:szCs w:val="28"/>
        </w:rPr>
        <w:t>年增加（减少）</w:t>
      </w:r>
      <w:r>
        <w:rPr>
          <w:rFonts w:hint="eastAsia" w:ascii="宋体" w:hAnsi="宋体"/>
          <w:sz w:val="28"/>
          <w:szCs w:val="28"/>
          <w:lang w:val="en-US" w:eastAsia="zh-CN"/>
        </w:rPr>
        <w:t>0</w:t>
      </w:r>
      <w:r>
        <w:rPr>
          <w:rFonts w:hint="eastAsia" w:ascii="宋体" w:hAnsi="宋体"/>
          <w:sz w:val="28"/>
          <w:szCs w:val="28"/>
        </w:rPr>
        <w:t>万元，增长（下降）</w:t>
      </w:r>
      <w:r>
        <w:rPr>
          <w:rFonts w:hint="eastAsia" w:ascii="宋体" w:hAnsi="宋体"/>
          <w:sz w:val="28"/>
          <w:szCs w:val="28"/>
          <w:lang w:val="en-US" w:eastAsia="zh-CN"/>
        </w:rPr>
        <w:t>0</w:t>
      </w:r>
      <w:r>
        <w:rPr>
          <w:rFonts w:hint="eastAsia" w:ascii="宋体" w:hAnsi="宋体"/>
          <w:sz w:val="28"/>
          <w:szCs w:val="28"/>
        </w:rPr>
        <w:t xml:space="preserve"> %。</w:t>
      </w:r>
    </w:p>
    <w:p>
      <w:pPr>
        <w:snapToGrid w:val="0"/>
        <w:spacing w:line="520" w:lineRule="exact"/>
        <w:ind w:firstLine="560" w:firstLineChars="200"/>
        <w:rPr>
          <w:rFonts w:hint="eastAsia" w:ascii="宋体" w:hAnsi="宋体"/>
          <w:sz w:val="28"/>
          <w:szCs w:val="28"/>
          <w:lang w:eastAsia="zh-CN"/>
        </w:rPr>
      </w:pPr>
      <w:r>
        <w:rPr>
          <w:rFonts w:hint="eastAsia" w:ascii="宋体" w:hAnsi="宋体"/>
          <w:sz w:val="28"/>
          <w:szCs w:val="28"/>
        </w:rPr>
        <w:t>（三）公务用车购置及运行维护费支出</w:t>
      </w:r>
      <w:r>
        <w:rPr>
          <w:rFonts w:hint="eastAsia" w:ascii="宋体" w:hAnsi="宋体"/>
          <w:sz w:val="28"/>
          <w:szCs w:val="28"/>
          <w:lang w:val="en-US" w:eastAsia="zh-CN"/>
        </w:rPr>
        <w:t>0</w:t>
      </w:r>
      <w:r>
        <w:rPr>
          <w:rFonts w:hint="eastAsia" w:ascii="宋体" w:hAnsi="宋体"/>
          <w:sz w:val="28"/>
          <w:szCs w:val="28"/>
        </w:rPr>
        <w:t>万元，其中公务用车购置年初预算数为</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万元，完成预算的</w:t>
      </w:r>
      <w:r>
        <w:rPr>
          <w:rFonts w:hint="eastAsia" w:ascii="宋体" w:hAnsi="宋体"/>
          <w:sz w:val="28"/>
          <w:szCs w:val="28"/>
          <w:lang w:val="en-US" w:eastAsia="zh-CN"/>
        </w:rPr>
        <w:t>0</w:t>
      </w:r>
      <w:r>
        <w:rPr>
          <w:rFonts w:hint="eastAsia" w:ascii="宋体" w:hAnsi="宋体"/>
          <w:sz w:val="28"/>
          <w:szCs w:val="28"/>
        </w:rPr>
        <w:t>%，决算数较20</w:t>
      </w:r>
      <w:r>
        <w:rPr>
          <w:rFonts w:hint="eastAsia" w:ascii="宋体" w:hAnsi="宋体"/>
          <w:sz w:val="28"/>
          <w:szCs w:val="28"/>
          <w:lang w:val="en-US" w:eastAsia="zh-CN"/>
        </w:rPr>
        <w:t>20</w:t>
      </w:r>
      <w:r>
        <w:rPr>
          <w:rFonts w:hint="eastAsia" w:ascii="宋体" w:hAnsi="宋体"/>
          <w:sz w:val="28"/>
          <w:szCs w:val="28"/>
        </w:rPr>
        <w:t>年增加（减少）</w:t>
      </w:r>
      <w:r>
        <w:rPr>
          <w:rFonts w:hint="eastAsia" w:ascii="宋体" w:hAnsi="宋体"/>
          <w:sz w:val="28"/>
          <w:szCs w:val="28"/>
          <w:lang w:val="en-US" w:eastAsia="zh-CN"/>
        </w:rPr>
        <w:t>0</w:t>
      </w:r>
      <w:r>
        <w:rPr>
          <w:rFonts w:hint="eastAsia" w:ascii="宋体" w:hAnsi="宋体"/>
          <w:sz w:val="28"/>
          <w:szCs w:val="28"/>
        </w:rPr>
        <w:t>万元，增长（下降）</w:t>
      </w:r>
      <w:r>
        <w:rPr>
          <w:rFonts w:hint="eastAsia" w:ascii="宋体" w:hAnsi="宋体"/>
          <w:sz w:val="28"/>
          <w:szCs w:val="28"/>
          <w:lang w:val="en-US" w:eastAsia="zh-CN"/>
        </w:rPr>
        <w:t>0</w:t>
      </w:r>
      <w:r>
        <w:rPr>
          <w:rFonts w:hint="eastAsia" w:ascii="宋体" w:hAnsi="宋体"/>
          <w:sz w:val="28"/>
          <w:szCs w:val="28"/>
        </w:rPr>
        <w:t>%，全年购置公务用车</w:t>
      </w:r>
      <w:r>
        <w:rPr>
          <w:rFonts w:hint="eastAsia" w:ascii="宋体" w:hAnsi="宋体"/>
          <w:sz w:val="28"/>
          <w:szCs w:val="28"/>
          <w:lang w:val="en-US" w:eastAsia="zh-CN"/>
        </w:rPr>
        <w:t>0</w:t>
      </w:r>
      <w:r>
        <w:rPr>
          <w:rFonts w:hint="eastAsia" w:ascii="宋体" w:hAnsi="宋体"/>
          <w:sz w:val="28"/>
          <w:szCs w:val="28"/>
        </w:rPr>
        <w:t xml:space="preserve">辆。公务用车运行维护费支出年初预算数为 </w:t>
      </w:r>
      <w:r>
        <w:rPr>
          <w:rFonts w:hint="eastAsia" w:ascii="宋体" w:hAnsi="宋体"/>
          <w:sz w:val="28"/>
          <w:szCs w:val="28"/>
          <w:lang w:val="en-US" w:eastAsia="zh-CN"/>
        </w:rPr>
        <w:t>0</w:t>
      </w:r>
      <w:r>
        <w:rPr>
          <w:rFonts w:hint="eastAsia" w:ascii="宋体" w:hAnsi="宋体"/>
          <w:sz w:val="28"/>
          <w:szCs w:val="28"/>
        </w:rPr>
        <w:t>万元，决算数为</w:t>
      </w:r>
      <w:r>
        <w:rPr>
          <w:rFonts w:hint="eastAsia" w:ascii="宋体" w:hAnsi="宋体"/>
          <w:sz w:val="28"/>
          <w:szCs w:val="28"/>
          <w:lang w:val="en-US" w:eastAsia="zh-CN"/>
        </w:rPr>
        <w:t>0</w:t>
      </w:r>
      <w:r>
        <w:rPr>
          <w:rFonts w:hint="eastAsia" w:ascii="宋体" w:hAnsi="宋体"/>
          <w:sz w:val="28"/>
          <w:szCs w:val="28"/>
        </w:rPr>
        <w:t>万元，完成预算的</w:t>
      </w:r>
      <w:r>
        <w:rPr>
          <w:rFonts w:hint="eastAsia" w:ascii="宋体" w:hAnsi="宋体"/>
          <w:sz w:val="28"/>
          <w:szCs w:val="28"/>
          <w:lang w:val="en-US" w:eastAsia="zh-CN"/>
        </w:rPr>
        <w:t>0</w:t>
      </w:r>
      <w:r>
        <w:rPr>
          <w:rFonts w:hint="eastAsia" w:ascii="宋体" w:hAnsi="宋体"/>
          <w:sz w:val="28"/>
          <w:szCs w:val="28"/>
        </w:rPr>
        <w:t>%，决算数较20</w:t>
      </w:r>
      <w:r>
        <w:rPr>
          <w:rFonts w:hint="eastAsia" w:ascii="宋体" w:hAnsi="宋体"/>
          <w:sz w:val="28"/>
          <w:szCs w:val="28"/>
          <w:lang w:val="en-US" w:eastAsia="zh-CN"/>
        </w:rPr>
        <w:t>20</w:t>
      </w:r>
      <w:r>
        <w:rPr>
          <w:rFonts w:hint="eastAsia" w:ascii="宋体" w:hAnsi="宋体"/>
          <w:sz w:val="28"/>
          <w:szCs w:val="28"/>
        </w:rPr>
        <w:t>年增加（减少）</w:t>
      </w:r>
      <w:r>
        <w:rPr>
          <w:rFonts w:hint="eastAsia" w:ascii="宋体" w:hAnsi="宋体"/>
          <w:sz w:val="28"/>
          <w:szCs w:val="28"/>
          <w:lang w:val="en-US" w:eastAsia="zh-CN"/>
        </w:rPr>
        <w:t>0</w:t>
      </w:r>
      <w:r>
        <w:rPr>
          <w:rFonts w:hint="eastAsia" w:ascii="宋体" w:hAnsi="宋体"/>
          <w:sz w:val="28"/>
          <w:szCs w:val="28"/>
        </w:rPr>
        <w:t>万元，增长（下降）</w:t>
      </w:r>
      <w:r>
        <w:rPr>
          <w:rFonts w:hint="eastAsia" w:ascii="宋体" w:hAnsi="宋体"/>
          <w:sz w:val="28"/>
          <w:szCs w:val="28"/>
          <w:lang w:val="en-US" w:eastAsia="zh-CN"/>
        </w:rPr>
        <w:t>0</w:t>
      </w:r>
      <w:r>
        <w:rPr>
          <w:rFonts w:hint="eastAsia" w:ascii="宋体" w:hAnsi="宋体"/>
          <w:sz w:val="28"/>
          <w:szCs w:val="28"/>
        </w:rPr>
        <w:t>%</w:t>
      </w:r>
      <w:r>
        <w:rPr>
          <w:rFonts w:hint="eastAsia" w:ascii="宋体" w:hAnsi="宋体"/>
          <w:sz w:val="28"/>
          <w:szCs w:val="28"/>
          <w:lang w:eastAsia="zh-CN"/>
        </w:rPr>
        <w:t>。</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六、机关运行经费支出情况说明</w:t>
      </w:r>
    </w:p>
    <w:p>
      <w:pPr>
        <w:snapToGrid w:val="0"/>
        <w:spacing w:line="520" w:lineRule="exact"/>
        <w:ind w:firstLine="560" w:firstLineChars="200"/>
        <w:rPr>
          <w:rFonts w:hint="eastAsia" w:ascii="宋体" w:hAnsi="宋体"/>
          <w:sz w:val="28"/>
          <w:szCs w:val="28"/>
        </w:rPr>
      </w:pPr>
      <w:r>
        <w:rPr>
          <w:rFonts w:hint="eastAsia" w:ascii="宋体" w:hAnsi="宋体"/>
          <w:sz w:val="28"/>
          <w:szCs w:val="28"/>
          <w:lang w:val="en-US" w:eastAsia="zh-CN"/>
        </w:rPr>
        <w:t>本单位不是行政单位或参公单位，无</w:t>
      </w:r>
      <w:r>
        <w:rPr>
          <w:rFonts w:hint="eastAsia" w:ascii="宋体" w:hAnsi="宋体"/>
          <w:sz w:val="28"/>
          <w:szCs w:val="28"/>
        </w:rPr>
        <w:t xml:space="preserve">机关运行经费支出。 </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七、政府采购支出情况说明</w:t>
      </w:r>
    </w:p>
    <w:p>
      <w:pPr>
        <w:snapToGrid w:val="0"/>
        <w:spacing w:line="520" w:lineRule="exact"/>
        <w:ind w:firstLine="560" w:firstLineChars="200"/>
        <w:rPr>
          <w:rFonts w:hint="eastAsia" w:ascii="宋体" w:hAnsi="宋体"/>
          <w:sz w:val="28"/>
          <w:szCs w:val="28"/>
          <w:highlight w:val="yellow"/>
          <w:lang w:val="en-US" w:eastAsia="zh-CN"/>
        </w:rPr>
      </w:pPr>
      <w:r>
        <w:rPr>
          <w:rFonts w:hint="eastAsia" w:ascii="宋体" w:hAnsi="宋体"/>
          <w:sz w:val="28"/>
          <w:szCs w:val="28"/>
        </w:rPr>
        <w:t>本部门202</w:t>
      </w:r>
      <w:r>
        <w:rPr>
          <w:rFonts w:hint="eastAsia" w:ascii="宋体" w:hAnsi="宋体"/>
          <w:sz w:val="28"/>
          <w:szCs w:val="28"/>
          <w:lang w:val="en-US" w:eastAsia="zh-CN"/>
        </w:rPr>
        <w:t>1</w:t>
      </w:r>
      <w:r>
        <w:rPr>
          <w:rFonts w:hint="eastAsia" w:ascii="宋体" w:hAnsi="宋体"/>
          <w:sz w:val="28"/>
          <w:szCs w:val="28"/>
        </w:rPr>
        <w:t>年度政府采购支出</w:t>
      </w:r>
      <w:r>
        <w:rPr>
          <w:rFonts w:hint="eastAsia" w:ascii="宋体" w:hAnsi="宋体"/>
          <w:sz w:val="28"/>
          <w:szCs w:val="28"/>
          <w:lang w:val="en-US" w:eastAsia="zh-CN"/>
        </w:rPr>
        <w:t>2213.59万元。</w:t>
      </w:r>
      <w:r>
        <w:rPr>
          <w:rFonts w:hint="eastAsia" w:ascii="宋体" w:hAnsi="宋体"/>
          <w:sz w:val="28"/>
          <w:szCs w:val="28"/>
        </w:rPr>
        <w:t>其中：政府采购货物支出</w:t>
      </w:r>
      <w:r>
        <w:rPr>
          <w:rFonts w:hint="eastAsia" w:ascii="宋体" w:hAnsi="宋体"/>
          <w:sz w:val="28"/>
          <w:szCs w:val="28"/>
          <w:lang w:val="en-US" w:eastAsia="zh-CN"/>
        </w:rPr>
        <w:t>1639.86</w:t>
      </w:r>
      <w:r>
        <w:rPr>
          <w:rFonts w:hint="eastAsia" w:ascii="宋体" w:hAnsi="宋体"/>
          <w:sz w:val="28"/>
          <w:szCs w:val="28"/>
        </w:rPr>
        <w:t>万元、政府采购工程支出0万元、政府采购服务支出</w:t>
      </w:r>
      <w:r>
        <w:rPr>
          <w:rFonts w:hint="eastAsia" w:ascii="宋体" w:hAnsi="宋体"/>
          <w:sz w:val="28"/>
          <w:szCs w:val="28"/>
          <w:lang w:val="en-US" w:eastAsia="zh-CN"/>
        </w:rPr>
        <w:t>573.73</w:t>
      </w:r>
      <w:r>
        <w:rPr>
          <w:rFonts w:hint="eastAsia" w:ascii="宋体" w:hAnsi="宋体"/>
          <w:sz w:val="28"/>
          <w:szCs w:val="28"/>
        </w:rPr>
        <w:t>万元。授予中小企业合同金额</w:t>
      </w:r>
      <w:r>
        <w:rPr>
          <w:rFonts w:hint="eastAsia" w:ascii="宋体" w:hAnsi="宋体"/>
          <w:sz w:val="28"/>
          <w:szCs w:val="28"/>
          <w:lang w:val="en-US" w:eastAsia="zh-CN"/>
        </w:rPr>
        <w:t>2019.9万元</w:t>
      </w:r>
      <w:r>
        <w:rPr>
          <w:rFonts w:hint="eastAsia" w:ascii="宋体" w:hAnsi="宋体"/>
          <w:sz w:val="28"/>
          <w:szCs w:val="28"/>
        </w:rPr>
        <w:t>，占政府采购支出总额的9</w:t>
      </w:r>
      <w:r>
        <w:rPr>
          <w:rFonts w:hint="eastAsia" w:ascii="宋体" w:hAnsi="宋体"/>
          <w:sz w:val="28"/>
          <w:szCs w:val="28"/>
          <w:lang w:val="en-US" w:eastAsia="zh-CN"/>
        </w:rPr>
        <w:t>1</w:t>
      </w:r>
      <w:r>
        <w:rPr>
          <w:rFonts w:hint="eastAsia" w:ascii="宋体" w:hAnsi="宋体"/>
          <w:sz w:val="28"/>
          <w:szCs w:val="28"/>
        </w:rPr>
        <w:t>.25％，其中：授予小微企业合同金额</w:t>
      </w:r>
      <w:r>
        <w:rPr>
          <w:rFonts w:hint="eastAsia" w:ascii="宋体" w:hAnsi="宋体"/>
          <w:sz w:val="28"/>
          <w:szCs w:val="28"/>
          <w:lang w:val="en-US" w:eastAsia="zh-CN"/>
        </w:rPr>
        <w:t>1873.25万元</w:t>
      </w:r>
      <w:r>
        <w:rPr>
          <w:rFonts w:hint="eastAsia" w:ascii="宋体" w:hAnsi="宋体"/>
          <w:sz w:val="28"/>
          <w:szCs w:val="28"/>
        </w:rPr>
        <w:t>，占政府采购支出总额的</w:t>
      </w:r>
      <w:r>
        <w:rPr>
          <w:rFonts w:hint="eastAsia" w:ascii="宋体" w:hAnsi="宋体"/>
          <w:sz w:val="28"/>
          <w:szCs w:val="28"/>
          <w:lang w:val="en-US" w:eastAsia="zh-CN"/>
        </w:rPr>
        <w:t>84.62</w:t>
      </w:r>
      <w:r>
        <w:rPr>
          <w:rFonts w:hint="eastAsia" w:ascii="宋体" w:hAnsi="宋体"/>
          <w:sz w:val="28"/>
          <w:szCs w:val="28"/>
        </w:rPr>
        <w:t>％；货物采购</w:t>
      </w:r>
      <w:r>
        <w:rPr>
          <w:rFonts w:hint="eastAsia" w:ascii="宋体" w:hAnsi="宋体"/>
          <w:sz w:val="28"/>
          <w:szCs w:val="28"/>
          <w:lang w:val="en-US" w:eastAsia="zh-CN"/>
        </w:rPr>
        <w:t>授予</w:t>
      </w:r>
      <w:bookmarkStart w:id="1" w:name="_GoBack"/>
      <w:bookmarkEnd w:id="1"/>
      <w:r>
        <w:rPr>
          <w:rFonts w:hint="eastAsia" w:ascii="宋体" w:hAnsi="宋体"/>
          <w:sz w:val="28"/>
          <w:szCs w:val="28"/>
        </w:rPr>
        <w:t>中小企业合同金额</w:t>
      </w:r>
      <w:r>
        <w:rPr>
          <w:rFonts w:hint="eastAsia" w:ascii="宋体" w:hAnsi="宋体"/>
          <w:sz w:val="28"/>
          <w:szCs w:val="28"/>
          <w:lang w:val="en-US" w:eastAsia="zh-CN"/>
        </w:rPr>
        <w:t>1489.97万元，</w:t>
      </w:r>
      <w:r>
        <w:rPr>
          <w:rFonts w:hint="eastAsia" w:ascii="宋体" w:hAnsi="宋体"/>
          <w:sz w:val="28"/>
          <w:szCs w:val="28"/>
        </w:rPr>
        <w:t>占货物支出金额的9</w:t>
      </w:r>
      <w:r>
        <w:rPr>
          <w:rFonts w:hint="eastAsia" w:ascii="宋体" w:hAnsi="宋体"/>
          <w:sz w:val="28"/>
          <w:szCs w:val="28"/>
          <w:lang w:val="en-US" w:eastAsia="zh-CN"/>
        </w:rPr>
        <w:t>0</w:t>
      </w:r>
      <w:r>
        <w:rPr>
          <w:rFonts w:hint="eastAsia" w:ascii="宋体" w:hAnsi="宋体"/>
          <w:sz w:val="28"/>
          <w:szCs w:val="28"/>
        </w:rPr>
        <w:t>.86％，工程采购授予中小企业合同金额占工程支出金额的0％，服务采购授予中小企业合同金额</w:t>
      </w:r>
      <w:r>
        <w:rPr>
          <w:rFonts w:hint="eastAsia" w:ascii="宋体" w:hAnsi="宋体"/>
          <w:sz w:val="28"/>
          <w:szCs w:val="28"/>
          <w:lang w:val="en-US" w:eastAsia="zh-CN"/>
        </w:rPr>
        <w:t>573.73万元，</w:t>
      </w:r>
      <w:r>
        <w:rPr>
          <w:rFonts w:hint="eastAsia" w:ascii="宋体" w:hAnsi="宋体"/>
          <w:sz w:val="28"/>
          <w:szCs w:val="28"/>
        </w:rPr>
        <w:t>占服务支出金额的</w:t>
      </w:r>
      <w:r>
        <w:rPr>
          <w:rFonts w:hint="eastAsia" w:ascii="宋体" w:hAnsi="宋体"/>
          <w:sz w:val="28"/>
          <w:szCs w:val="28"/>
          <w:lang w:val="en-US" w:eastAsia="zh-CN"/>
        </w:rPr>
        <w:t>100</w:t>
      </w:r>
      <w:r>
        <w:rPr>
          <w:rFonts w:hint="eastAsia" w:ascii="宋体" w:hAnsi="宋体"/>
          <w:sz w:val="28"/>
          <w:szCs w:val="28"/>
        </w:rPr>
        <w:t>％。</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rPr>
        <w:t>八、国有资产占用情况说明</w:t>
      </w:r>
    </w:p>
    <w:p>
      <w:pPr>
        <w:snapToGrid w:val="0"/>
        <w:spacing w:line="520" w:lineRule="exact"/>
        <w:ind w:firstLine="560" w:firstLineChars="200"/>
        <w:rPr>
          <w:rFonts w:hint="default" w:ascii="宋体" w:hAnsi="宋体"/>
          <w:sz w:val="28"/>
          <w:szCs w:val="28"/>
          <w:lang w:val="en-US" w:eastAsia="zh-CN"/>
        </w:rPr>
      </w:pPr>
      <w:r>
        <w:rPr>
          <w:rFonts w:hint="eastAsia" w:ascii="宋体" w:hAnsi="宋体"/>
          <w:sz w:val="28"/>
          <w:szCs w:val="28"/>
        </w:rPr>
        <w:t>截止202</w:t>
      </w:r>
      <w:r>
        <w:rPr>
          <w:rFonts w:hint="eastAsia" w:ascii="宋体" w:hAnsi="宋体"/>
          <w:sz w:val="28"/>
          <w:szCs w:val="28"/>
          <w:lang w:val="en-US" w:eastAsia="zh-CN"/>
        </w:rPr>
        <w:t>1</w:t>
      </w:r>
      <w:r>
        <w:rPr>
          <w:rFonts w:hint="eastAsia" w:ascii="宋体" w:hAnsi="宋体"/>
          <w:sz w:val="28"/>
          <w:szCs w:val="28"/>
        </w:rPr>
        <w:t>年12月31日，本单位国有资产占用情况见公开10表《国有资产占用情况表》。其中车辆中的其他用车</w:t>
      </w:r>
      <w:r>
        <w:rPr>
          <w:rFonts w:hint="eastAsia" w:ascii="宋体" w:hAnsi="宋体"/>
          <w:sz w:val="28"/>
          <w:szCs w:val="28"/>
          <w:lang w:val="en-US" w:eastAsia="zh-CN"/>
        </w:rPr>
        <w:t>1辆，该车为运送标本、疫苗用车。</w:t>
      </w:r>
    </w:p>
    <w:p>
      <w:pPr>
        <w:widowControl/>
        <w:kinsoku w:val="0"/>
        <w:autoSpaceDE w:val="0"/>
        <w:autoSpaceDN w:val="0"/>
        <w:adjustRightInd w:val="0"/>
        <w:snapToGrid w:val="0"/>
        <w:spacing w:before="171" w:line="242" w:lineRule="auto"/>
        <w:ind w:left="660"/>
        <w:jc w:val="left"/>
        <w:textAlignment w:val="baseline"/>
        <w:rPr>
          <w:rFonts w:hint="eastAsia" w:ascii="黑体" w:hAnsi="黑体" w:eastAsia="黑体" w:cs="黑体"/>
          <w:snapToGrid w:val="0"/>
          <w:color w:val="000000"/>
          <w:spacing w:val="8"/>
          <w:kern w:val="0"/>
          <w:sz w:val="29"/>
          <w:szCs w:val="29"/>
        </w:rPr>
      </w:pPr>
      <w:r>
        <w:rPr>
          <w:rFonts w:hint="eastAsia" w:ascii="黑体" w:hAnsi="黑体" w:eastAsia="黑体" w:cs="黑体"/>
          <w:snapToGrid w:val="0"/>
          <w:color w:val="000000"/>
          <w:spacing w:val="8"/>
          <w:kern w:val="0"/>
          <w:sz w:val="29"/>
          <w:szCs w:val="29"/>
          <w:lang w:eastAsia="zh-CN"/>
        </w:rPr>
        <w:t>九</w:t>
      </w:r>
      <w:r>
        <w:rPr>
          <w:rFonts w:hint="eastAsia" w:ascii="黑体" w:hAnsi="黑体" w:eastAsia="黑体" w:cs="黑体"/>
          <w:snapToGrid w:val="0"/>
          <w:color w:val="000000"/>
          <w:spacing w:val="8"/>
          <w:kern w:val="0"/>
          <w:sz w:val="29"/>
          <w:szCs w:val="29"/>
        </w:rPr>
        <w:t>、预算绩效情况说明</w:t>
      </w:r>
    </w:p>
    <w:p>
      <w:pPr>
        <w:snapToGrid w:val="0"/>
        <w:spacing w:line="520" w:lineRule="exact"/>
        <w:ind w:firstLine="560" w:firstLineChars="200"/>
        <w:rPr>
          <w:rFonts w:hint="eastAsia" w:ascii="宋体" w:hAnsi="宋体"/>
          <w:sz w:val="28"/>
          <w:szCs w:val="28"/>
          <w:lang w:val="en-US" w:eastAsia="zh-CN"/>
        </w:rPr>
      </w:pPr>
      <w:r>
        <w:rPr>
          <w:rFonts w:hint="eastAsia" w:ascii="宋体" w:hAnsi="宋体"/>
          <w:sz w:val="28"/>
          <w:szCs w:val="28"/>
          <w:lang w:eastAsia="zh-CN"/>
        </w:rPr>
        <w:t>（</w:t>
      </w:r>
      <w:r>
        <w:rPr>
          <w:rFonts w:hint="eastAsia" w:ascii="宋体" w:hAnsi="宋体"/>
          <w:sz w:val="28"/>
          <w:szCs w:val="28"/>
          <w:lang w:val="en-US" w:eastAsia="zh-CN"/>
        </w:rPr>
        <w:t>一</w:t>
      </w:r>
      <w:r>
        <w:rPr>
          <w:rFonts w:hint="eastAsia" w:ascii="宋体" w:hAnsi="宋体"/>
          <w:sz w:val="28"/>
          <w:szCs w:val="28"/>
          <w:lang w:eastAsia="zh-CN"/>
        </w:rPr>
        <w:t>）</w:t>
      </w:r>
      <w:r>
        <w:rPr>
          <w:rFonts w:hint="eastAsia" w:ascii="宋体" w:hAnsi="宋体"/>
          <w:sz w:val="28"/>
          <w:szCs w:val="28"/>
          <w:lang w:val="en-US" w:eastAsia="zh-CN"/>
        </w:rPr>
        <w:t>绩效管理工作开展情况</w:t>
      </w:r>
    </w:p>
    <w:p>
      <w:pPr>
        <w:snapToGrid w:val="0"/>
        <w:spacing w:line="520" w:lineRule="exact"/>
        <w:ind w:firstLine="840" w:firstLineChars="300"/>
        <w:rPr>
          <w:rFonts w:hint="eastAsia" w:ascii="宋体" w:hAnsi="宋体"/>
          <w:sz w:val="28"/>
          <w:szCs w:val="28"/>
        </w:rPr>
      </w:pPr>
      <w:r>
        <w:rPr>
          <w:rFonts w:hint="eastAsia" w:ascii="宋体" w:hAnsi="宋体"/>
          <w:sz w:val="28"/>
          <w:szCs w:val="28"/>
        </w:rPr>
        <w:t>我</w:t>
      </w:r>
      <w:r>
        <w:rPr>
          <w:rFonts w:hint="eastAsia" w:ascii="宋体" w:hAnsi="宋体"/>
          <w:sz w:val="28"/>
          <w:szCs w:val="28"/>
          <w:lang w:eastAsia="zh-CN"/>
        </w:rPr>
        <w:t>单位</w:t>
      </w:r>
      <w:r>
        <w:rPr>
          <w:rFonts w:hint="eastAsia" w:ascii="宋体" w:hAnsi="宋体"/>
          <w:sz w:val="28"/>
          <w:szCs w:val="28"/>
          <w:lang w:val="en-US" w:eastAsia="zh-CN"/>
        </w:rPr>
        <w:t>2021年</w:t>
      </w:r>
      <w:r>
        <w:rPr>
          <w:rFonts w:hint="eastAsia" w:ascii="宋体" w:hAnsi="宋体"/>
          <w:sz w:val="28"/>
          <w:szCs w:val="28"/>
          <w:lang w:eastAsia="zh-CN"/>
        </w:rPr>
        <w:t>未开展绩效工作</w:t>
      </w:r>
    </w:p>
    <w:p>
      <w:pPr>
        <w:numPr>
          <w:ilvl w:val="0"/>
          <w:numId w:val="2"/>
        </w:numPr>
        <w:snapToGrid w:val="0"/>
        <w:spacing w:line="520" w:lineRule="exact"/>
        <w:ind w:firstLine="560" w:firstLineChars="200"/>
        <w:rPr>
          <w:rFonts w:hint="eastAsia" w:ascii="宋体" w:hAnsi="宋体"/>
          <w:sz w:val="28"/>
          <w:szCs w:val="28"/>
          <w:lang w:val="en-US" w:eastAsia="zh-CN"/>
        </w:rPr>
      </w:pPr>
      <w:r>
        <w:rPr>
          <w:rFonts w:hint="eastAsia" w:ascii="宋体" w:hAnsi="宋体"/>
          <w:sz w:val="28"/>
          <w:szCs w:val="28"/>
          <w:lang w:val="en-US" w:eastAsia="zh-CN"/>
        </w:rPr>
        <w:t>部门决算中项目绩效自评结果</w:t>
      </w:r>
    </w:p>
    <w:p>
      <w:pPr>
        <w:numPr>
          <w:ilvl w:val="0"/>
          <w:numId w:val="0"/>
        </w:numPr>
        <w:snapToGrid w:val="0"/>
        <w:spacing w:line="520" w:lineRule="exact"/>
        <w:ind w:firstLine="840" w:firstLineChars="300"/>
        <w:rPr>
          <w:rFonts w:hint="eastAsia" w:ascii="宋体" w:hAnsi="宋体"/>
          <w:sz w:val="28"/>
          <w:szCs w:val="28"/>
          <w:lang w:val="en-US" w:eastAsia="zh-CN"/>
        </w:rPr>
      </w:pPr>
      <w:r>
        <w:rPr>
          <w:rFonts w:hint="eastAsia" w:ascii="宋体" w:hAnsi="宋体"/>
          <w:sz w:val="28"/>
          <w:szCs w:val="28"/>
        </w:rPr>
        <w:t>我</w:t>
      </w:r>
      <w:r>
        <w:rPr>
          <w:rFonts w:hint="eastAsia" w:ascii="宋体" w:hAnsi="宋体"/>
          <w:sz w:val="28"/>
          <w:szCs w:val="28"/>
          <w:lang w:eastAsia="zh-CN"/>
        </w:rPr>
        <w:t>单位</w:t>
      </w:r>
      <w:r>
        <w:rPr>
          <w:rFonts w:hint="eastAsia" w:ascii="宋体" w:hAnsi="宋体"/>
          <w:sz w:val="28"/>
          <w:szCs w:val="28"/>
          <w:lang w:val="en-US" w:eastAsia="zh-CN"/>
        </w:rPr>
        <w:t>2021年</w:t>
      </w:r>
      <w:r>
        <w:rPr>
          <w:rFonts w:hint="eastAsia" w:ascii="宋体" w:hAnsi="宋体"/>
          <w:sz w:val="28"/>
          <w:szCs w:val="28"/>
          <w:lang w:eastAsia="zh-CN"/>
        </w:rPr>
        <w:t>未开展绩效工作</w:t>
      </w:r>
    </w:p>
    <w:p>
      <w:pPr>
        <w:numPr>
          <w:ilvl w:val="0"/>
          <w:numId w:val="2"/>
        </w:numPr>
        <w:snapToGrid w:val="0"/>
        <w:spacing w:line="520" w:lineRule="exact"/>
        <w:ind w:firstLine="560" w:firstLineChars="200"/>
        <w:rPr>
          <w:rFonts w:hint="default" w:ascii="宋体" w:hAnsi="宋体"/>
          <w:sz w:val="28"/>
          <w:szCs w:val="28"/>
          <w:lang w:val="en-US" w:eastAsia="zh-CN"/>
        </w:rPr>
      </w:pPr>
      <w:r>
        <w:rPr>
          <w:rFonts w:hint="eastAsia" w:ascii="宋体" w:hAnsi="宋体"/>
          <w:sz w:val="28"/>
          <w:szCs w:val="28"/>
          <w:lang w:val="en-US" w:eastAsia="zh-CN"/>
        </w:rPr>
        <w:t>部门评价项目绩效评价结果</w:t>
      </w:r>
    </w:p>
    <w:p>
      <w:pPr>
        <w:numPr>
          <w:ilvl w:val="0"/>
          <w:numId w:val="0"/>
        </w:numPr>
        <w:snapToGrid w:val="0"/>
        <w:spacing w:line="520" w:lineRule="exact"/>
        <w:ind w:firstLine="840" w:firstLineChars="300"/>
        <w:rPr>
          <w:rFonts w:hint="default" w:ascii="宋体" w:hAnsi="宋体"/>
          <w:sz w:val="28"/>
          <w:szCs w:val="28"/>
          <w:lang w:val="en-US" w:eastAsia="zh-CN"/>
        </w:rPr>
      </w:pPr>
      <w:r>
        <w:rPr>
          <w:rFonts w:hint="eastAsia" w:ascii="宋体" w:hAnsi="宋体"/>
          <w:sz w:val="28"/>
          <w:szCs w:val="28"/>
        </w:rPr>
        <w:t>我</w:t>
      </w:r>
      <w:r>
        <w:rPr>
          <w:rFonts w:hint="eastAsia" w:ascii="宋体" w:hAnsi="宋体"/>
          <w:sz w:val="28"/>
          <w:szCs w:val="28"/>
          <w:lang w:eastAsia="zh-CN"/>
        </w:rPr>
        <w:t>单位</w:t>
      </w:r>
      <w:r>
        <w:rPr>
          <w:rFonts w:hint="eastAsia" w:ascii="宋体" w:hAnsi="宋体"/>
          <w:sz w:val="28"/>
          <w:szCs w:val="28"/>
          <w:lang w:val="en-US" w:eastAsia="zh-CN"/>
        </w:rPr>
        <w:t>2021年</w:t>
      </w:r>
      <w:r>
        <w:rPr>
          <w:rFonts w:hint="eastAsia" w:ascii="宋体" w:hAnsi="宋体"/>
          <w:sz w:val="28"/>
          <w:szCs w:val="28"/>
          <w:lang w:eastAsia="zh-CN"/>
        </w:rPr>
        <w:t>未开展绩效工作</w:t>
      </w:r>
    </w:p>
    <w:p>
      <w:pPr>
        <w:widowControl/>
        <w:kinsoku w:val="0"/>
        <w:autoSpaceDE w:val="0"/>
        <w:autoSpaceDN w:val="0"/>
        <w:adjustRightInd w:val="0"/>
        <w:snapToGrid w:val="0"/>
        <w:spacing w:before="215" w:line="225" w:lineRule="auto"/>
        <w:jc w:val="center"/>
        <w:textAlignment w:val="baseline"/>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pPr>
    </w:p>
    <w:p>
      <w:pPr>
        <w:widowControl/>
        <w:kinsoku w:val="0"/>
        <w:autoSpaceDE w:val="0"/>
        <w:autoSpaceDN w:val="0"/>
        <w:adjustRightInd w:val="0"/>
        <w:snapToGrid w:val="0"/>
        <w:spacing w:before="215" w:line="225" w:lineRule="auto"/>
        <w:jc w:val="center"/>
        <w:textAlignment w:val="baseline"/>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snapToGrid w:val="0"/>
          <w:color w:val="000000"/>
          <w:spacing w:val="5"/>
          <w:kern w:val="0"/>
          <w:sz w:val="31"/>
          <w:szCs w:val="31"/>
          <w:lang w:eastAsia="zh-CN"/>
          <w14:textOutline w14:w="5793" w14:cap="sq" w14:cmpd="sng">
            <w14:solidFill>
              <w14:srgbClr w14:val="000000"/>
            </w14:solidFill>
            <w14:prstDash w14:val="solid"/>
            <w14:bevel/>
          </w14:textOutline>
        </w:rPr>
        <w:t>第四部分  名词解释</w:t>
      </w:r>
    </w:p>
    <w:p>
      <w:pPr>
        <w:widowControl/>
        <w:spacing w:line="580" w:lineRule="exact"/>
        <w:ind w:firstLine="643" w:firstLineChars="200"/>
        <w:jc w:val="left"/>
        <w:rPr>
          <w:rFonts w:hint="eastAsia" w:ascii="仿宋_GB2312" w:hAnsi="仿宋" w:eastAsia="仿宋_GB2312"/>
          <w:b/>
          <w:bCs/>
          <w:kern w:val="0"/>
          <w:sz w:val="32"/>
          <w:szCs w:val="32"/>
          <w:lang w:eastAsia="zh-CN"/>
        </w:rPr>
      </w:pPr>
      <w:r>
        <w:rPr>
          <w:rFonts w:hint="eastAsia" w:ascii="仿宋_GB2312" w:hAnsi="仿宋" w:eastAsia="仿宋_GB2312"/>
          <w:b/>
          <w:bCs/>
          <w:kern w:val="0"/>
          <w:sz w:val="32"/>
          <w:szCs w:val="32"/>
          <w:lang w:eastAsia="zh-CN"/>
        </w:rPr>
        <w:t>一、收入科目</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 一) 一般公共预算财政拨款收入：指</w:t>
      </w:r>
      <w:r>
        <w:rPr>
          <w:rFonts w:hint="eastAsia" w:ascii="仿宋_GB2312" w:hAnsi="仿宋" w:eastAsia="仿宋_GB2312"/>
          <w:kern w:val="0"/>
          <w:sz w:val="32"/>
          <w:szCs w:val="32"/>
          <w:lang w:val="en-US" w:eastAsia="zh-CN"/>
        </w:rPr>
        <w:t>市</w:t>
      </w:r>
      <w:r>
        <w:rPr>
          <w:rFonts w:hint="eastAsia" w:ascii="仿宋_GB2312" w:hAnsi="仿宋" w:eastAsia="仿宋_GB2312"/>
          <w:kern w:val="0"/>
          <w:sz w:val="32"/>
          <w:szCs w:val="32"/>
          <w:lang w:eastAsia="zh-CN"/>
        </w:rPr>
        <w:t>级财政当年拨付的资金。</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(二) 政府性基金预算财政拨款收入：指</w:t>
      </w:r>
      <w:r>
        <w:rPr>
          <w:rFonts w:hint="eastAsia" w:ascii="仿宋_GB2312" w:hAnsi="仿宋" w:eastAsia="仿宋_GB2312"/>
          <w:kern w:val="0"/>
          <w:sz w:val="32"/>
          <w:szCs w:val="32"/>
          <w:lang w:val="en-US" w:eastAsia="zh-CN"/>
        </w:rPr>
        <w:t>市</w:t>
      </w:r>
      <w:r>
        <w:rPr>
          <w:rFonts w:hint="eastAsia" w:ascii="仿宋_GB2312" w:hAnsi="仿宋" w:eastAsia="仿宋_GB2312"/>
          <w:kern w:val="0"/>
          <w:sz w:val="32"/>
          <w:szCs w:val="32"/>
          <w:lang w:eastAsia="zh-CN"/>
        </w:rPr>
        <w:t>财政使用政府性基金拨付的资金。</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(三) 事业收入：指事业单位开展专业业务活动及辅助活动取得的收入，如医疗收入。</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 四) 经营收入：指事业单位在专业业务活动及辅助活动之外开展非独立核算经营活动取得的收入。</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(五) 使用非财政拨款结余：填列事业单位用非财政拨款结余(用事业基金弥补收支差额) 的数额。</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(六)年初结转和结余：填列上年全部结转和结余的资金数，包括当年结转结余资金和历年滚存结转结余资金。</w:t>
      </w:r>
    </w:p>
    <w:p>
      <w:pPr>
        <w:widowControl/>
        <w:spacing w:line="580" w:lineRule="exact"/>
        <w:ind w:firstLine="643" w:firstLineChars="200"/>
        <w:jc w:val="left"/>
        <w:rPr>
          <w:rFonts w:hint="eastAsia" w:ascii="仿宋_GB2312" w:hAnsi="仿宋" w:eastAsia="仿宋_GB2312"/>
          <w:b/>
          <w:bCs/>
          <w:kern w:val="0"/>
          <w:sz w:val="32"/>
          <w:szCs w:val="32"/>
          <w:lang w:eastAsia="zh-CN"/>
        </w:rPr>
      </w:pPr>
      <w:r>
        <w:rPr>
          <w:rFonts w:hint="eastAsia" w:ascii="仿宋_GB2312" w:hAnsi="仿宋" w:eastAsia="仿宋_GB2312"/>
          <w:b/>
          <w:bCs/>
          <w:kern w:val="0"/>
          <w:sz w:val="32"/>
          <w:szCs w:val="32"/>
          <w:lang w:eastAsia="zh-CN"/>
        </w:rPr>
        <w:t>二、支出科目</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 一) 科学技术支出 (类) 技术研究与开发 (款) 其他技术研究与开发支出 (项) ：反映其他用于技术研究与开发方面的支 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科学技术支出 (类) 其他科学技术支出 (款) 其他科学技术支出 (项) ：反映其他用于科学技术方面的支出。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(二)社会保障和就业支出(类)行政事业单位养老支出(款)行政单位离退休 (项) ：反映行政单位 (包括实行公务员管理的事业单位) 开支的离退休支出。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社会保障和就业支出 (类) 行政事业单位养老支出 (款) 机关事业单位基本养老保险缴费支出 (项) ：反映机关事业单位实施养老保险制度由单位缴纳的基本养老保险费支出。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(三) 卫生健康支出 (类) 公立医院 (款) 中医 (民族) 医 院 (项) ：反映卫生健康、中医部门所属的中医院、中西医结合医院、民族医院的支出。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卫生健康支出 (类) 公立医院 (款) 其他公立医院支出 (项)： 反映除上述项目以外的其他用于公立医院方面的支出。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卫生健康支出 (类) 公共卫生 (款) 基本公共卫生服务 (项)： 反映基本公共卫生服务支出。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卫生健康支出 (类) 公共卫生 (款) 重大公共卫生服务 (项)： 反映重大疾病、重大传染病预防控制等重大公共卫生服务项目支 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卫生健康支出 (类) 公共卫生 (款) 其他公共卫生支出 (项)： 反映除上述项目以外的其他用于公共卫生方面的支出。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卫生健康支出(类) 中医药(款) 中医(民族医)药专项(项)： 反映中医 (民族医) 药方面的专项支出。</w:t>
      </w:r>
    </w:p>
    <w:p>
      <w:pPr>
        <w:widowControl/>
        <w:spacing w:line="580" w:lineRule="exact"/>
        <w:jc w:val="left"/>
        <w:rPr>
          <w:rFonts w:hint="default" w:ascii="仿宋_GB2312" w:hAnsi="仿宋" w:eastAsia="仿宋_GB2312"/>
          <w:kern w:val="0"/>
          <w:sz w:val="32"/>
          <w:szCs w:val="32"/>
          <w:lang w:val="en-US" w:eastAsia="zh-CN"/>
        </w:rPr>
      </w:pPr>
      <w:r>
        <w:rPr>
          <w:rFonts w:hint="eastAsia" w:ascii="仿宋_GB2312" w:hAnsi="仿宋" w:eastAsia="仿宋_GB2312"/>
          <w:kern w:val="0"/>
          <w:sz w:val="32"/>
          <w:szCs w:val="32"/>
          <w:lang w:eastAsia="zh-CN"/>
        </w:rPr>
        <w:t>卫生健康支出 (类) 行政事业单位医疗 (款) 事业单位医疗 (项) :反映财政部门集中安排的事业单位基本医疗保险缴费经 费，未参加医疗保险的事业单位的公费医疗经费，按国家规定</w:t>
      </w:r>
      <w:r>
        <w:rPr>
          <w:rFonts w:hint="eastAsia" w:ascii="仿宋_GB2312" w:hAnsi="仿宋" w:eastAsia="仿宋_GB2312"/>
          <w:kern w:val="0"/>
          <w:sz w:val="32"/>
          <w:szCs w:val="32"/>
          <w:lang w:val="en-US" w:eastAsia="zh-CN"/>
        </w:rPr>
        <w:t>享</w:t>
      </w:r>
      <w:r>
        <w:rPr>
          <w:rFonts w:hint="eastAsia" w:ascii="仿宋_GB2312" w:hAnsi="仿宋" w:eastAsia="仿宋_GB2312"/>
          <w:kern w:val="0"/>
          <w:sz w:val="32"/>
          <w:szCs w:val="32"/>
          <w:lang w:eastAsia="zh-CN"/>
        </w:rPr>
        <w:t>受离休人员待遇的医疗经费。</w:t>
      </w:r>
    </w:p>
    <w:p>
      <w:pPr>
        <w:widowControl/>
        <w:spacing w:line="580" w:lineRule="exact"/>
        <w:ind w:firstLine="643" w:firstLineChars="200"/>
        <w:jc w:val="left"/>
        <w:rPr>
          <w:rFonts w:hint="eastAsia" w:ascii="仿宋_GB2312" w:hAnsi="仿宋" w:eastAsia="仿宋_GB2312"/>
          <w:b/>
          <w:bCs/>
          <w:kern w:val="0"/>
          <w:sz w:val="32"/>
          <w:szCs w:val="32"/>
          <w:lang w:eastAsia="zh-CN"/>
        </w:rPr>
      </w:pPr>
      <w:r>
        <w:rPr>
          <w:rFonts w:hint="eastAsia" w:ascii="仿宋_GB2312" w:hAnsi="仿宋" w:eastAsia="仿宋_GB2312"/>
          <w:b/>
          <w:bCs/>
          <w:kern w:val="0"/>
          <w:sz w:val="32"/>
          <w:szCs w:val="32"/>
          <w:lang w:eastAsia="zh-CN"/>
        </w:rPr>
        <w:t>三、“三公”经费支出</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eastAsia="zh-CN"/>
        </w:rPr>
        <w:t>一般公共预算“三公”经费，是指部门用财政拨款安排的因公出国 (境) 费、公务用车购置及运行费和公务接待费。其中， 因公出国 (境) 费反映单位公务出国 (境) 的国际旅费、国外城 市间交通费、住宿费、伙食费、培训费、公杂费等支出；公务用车购置及运行经费反映单位公务用车车辆购置支出(含车辆购置 税) 及租用费、燃料费、维修费、过路过桥费、保险费、安全奖励费用等支出；公务接待费反映单位按规定开支的各类公务接待(含外宾接待) 支出。</w:t>
      </w:r>
    </w:p>
    <w:p>
      <w:pPr>
        <w:widowControl/>
        <w:spacing w:line="580" w:lineRule="exact"/>
        <w:ind w:firstLine="643" w:firstLineChars="200"/>
        <w:jc w:val="left"/>
        <w:rPr>
          <w:rFonts w:hint="eastAsia" w:ascii="仿宋_GB2312" w:hAnsi="仿宋" w:eastAsia="仿宋_GB2312"/>
          <w:b/>
          <w:bCs/>
          <w:kern w:val="0"/>
          <w:sz w:val="32"/>
          <w:szCs w:val="32"/>
          <w:lang w:val="en-US" w:eastAsia="zh-CN"/>
        </w:rPr>
      </w:pPr>
      <w:r>
        <w:rPr>
          <w:rFonts w:hint="eastAsia" w:ascii="仿宋_GB2312" w:hAnsi="仿宋" w:eastAsia="仿宋_GB2312"/>
          <w:b/>
          <w:bCs/>
          <w:kern w:val="0"/>
          <w:sz w:val="32"/>
          <w:szCs w:val="32"/>
          <w:lang w:val="en-US" w:eastAsia="zh-CN"/>
        </w:rPr>
        <w:t>四、机关运行经费</w:t>
      </w:r>
    </w:p>
    <w:p>
      <w:pPr>
        <w:widowControl/>
        <w:spacing w:line="580" w:lineRule="exact"/>
        <w:ind w:firstLine="640" w:firstLineChars="200"/>
        <w:jc w:val="left"/>
        <w:rPr>
          <w:rFonts w:hint="eastAsia" w:ascii="仿宋_GB2312" w:hAnsi="仿宋" w:eastAsia="仿宋_GB2312"/>
          <w:kern w:val="0"/>
          <w:sz w:val="32"/>
          <w:szCs w:val="32"/>
          <w:lang w:eastAsia="zh-CN"/>
        </w:rPr>
      </w:pPr>
      <w:r>
        <w:rPr>
          <w:rFonts w:hint="eastAsia" w:ascii="仿宋_GB2312" w:hAnsi="仿宋" w:eastAsia="仿宋_GB2312"/>
          <w:kern w:val="0"/>
          <w:sz w:val="32"/>
          <w:szCs w:val="32"/>
          <w:lang w:val="en-US" w:eastAsia="zh-CN"/>
        </w:rPr>
        <w:t>机关运行经费，</w:t>
      </w:r>
      <w:r>
        <w:rPr>
          <w:rFonts w:hint="eastAsia" w:ascii="仿宋_GB2312" w:hAnsi="仿宋" w:eastAsia="仿宋_GB2312"/>
          <w:kern w:val="0"/>
          <w:sz w:val="32"/>
          <w:szCs w:val="32"/>
          <w:lang w:eastAsia="zh-CN"/>
        </w:rPr>
        <w:t>是指为保障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4C1"/>
    <w:multiLevelType w:val="singleLevel"/>
    <w:tmpl w:val="87A384C1"/>
    <w:lvl w:ilvl="0" w:tentative="0">
      <w:start w:val="2"/>
      <w:numFmt w:val="chineseCounting"/>
      <w:suff w:val="nothing"/>
      <w:lvlText w:val="（%1）"/>
      <w:lvlJc w:val="left"/>
      <w:rPr>
        <w:rFonts w:hint="eastAsia"/>
      </w:rPr>
    </w:lvl>
  </w:abstractNum>
  <w:abstractNum w:abstractNumId="1">
    <w:nsid w:val="CEF1AB64"/>
    <w:multiLevelType w:val="singleLevel"/>
    <w:tmpl w:val="CEF1AB64"/>
    <w:lvl w:ilvl="0" w:tentative="0">
      <w:start w:val="8"/>
      <w:numFmt w:val="chineseCounting"/>
      <w:suff w:val="nothing"/>
      <w:lvlText w:val="%1、"/>
      <w:lvlJc w:val="left"/>
      <w:pPr>
        <w:ind w:left="1280" w:firstLine="0"/>
      </w:pPr>
    </w:lvl>
  </w:abstractNum>
  <w:num w:numId="1">
    <w:abstractNumId w:val="1"/>
    <w:lvlOverride w:ilvl="0">
      <w:startOverride w:val="8"/>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iNjkwMmQ1MDE3NmRlZTU2NjM5YjJkM2M1YjEzMmYifQ=="/>
  </w:docVars>
  <w:rsids>
    <w:rsidRoot w:val="12E45599"/>
    <w:rsid w:val="06804D5A"/>
    <w:rsid w:val="12E45599"/>
    <w:rsid w:val="15EA6C24"/>
    <w:rsid w:val="39312B7F"/>
    <w:rsid w:val="44717C84"/>
    <w:rsid w:val="52CF5D47"/>
    <w:rsid w:val="54305D60"/>
    <w:rsid w:val="680846A1"/>
    <w:rsid w:val="6F124E6A"/>
    <w:rsid w:val="77432205"/>
    <w:rsid w:val="7D806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3570</Words>
  <Characters>3919</Characters>
  <Lines>0</Lines>
  <Paragraphs>0</Paragraphs>
  <TotalTime>53</TotalTime>
  <ScaleCrop>false</ScaleCrop>
  <LinksUpToDate>false</LinksUpToDate>
  <CharactersWithSpaces>4086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2022-09-23T08:52:00Z</dcterms:created>
  <dc:creator>弱水三千</dc:creator>
  <cp:lastModifiedBy>弱水三千</cp:lastModifiedBy>
  <dcterms:modified xsi:type="dcterms:W3CDTF">2023-07-03T03:48:37Z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AE87DD7F53764A0791B05D1E035D4011</vt:lpwstr>
  </property>
</Properties>
</file>